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24" w:rsidRDefault="00EE32A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1A5524" w:rsidRDefault="001A5524">
      <w:pPr>
        <w:rPr>
          <w:rFonts w:ascii="Arial" w:eastAsia="Arial" w:hAnsi="Arial" w:cs="Arial"/>
        </w:rPr>
      </w:pPr>
    </w:p>
    <w:p w:rsidR="001A5524" w:rsidRDefault="00EE32A1">
      <w:pPr>
        <w:rPr>
          <w:rFonts w:ascii="Arial" w:eastAsia="Arial" w:hAnsi="Arial" w:cs="Arial"/>
        </w:rPr>
      </w:pPr>
      <w:r>
        <w:t xml:space="preserve">Metadatos del </w:t>
      </w:r>
      <w:proofErr w:type="spellStart"/>
      <w:r>
        <w:t>dataset</w:t>
      </w:r>
      <w:proofErr w:type="spellEnd"/>
      <w:r>
        <w:t>: Captación de ingresos por recaudación en las Unidades Orgánicas del Gobierno Regional Piura [Gobierno Regional Piura].</w:t>
      </w:r>
    </w:p>
    <w:p w:rsidR="001A5524" w:rsidRDefault="00EE32A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 </w:t>
      </w:r>
    </w:p>
    <w:tbl>
      <w:tblPr>
        <w:tblStyle w:val="a2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spacing w:after="160" w:line="259" w:lineRule="auto"/>
              <w:rPr>
                <w:rFonts w:ascii="Arial" w:eastAsia="Arial" w:hAnsi="Arial" w:cs="Arial"/>
              </w:rPr>
            </w:pPr>
            <w:r>
              <w:t>Captación de ingresos por recaudación en las Unidades Orgánicas del Gobierno Regional Piura [Gobierno Regional Piura].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t>https://www.datosabiertos.gob.pe/dataset/captaci%C3%B3n-de-ingresos-por-recaudaci%C3%B3n-en-las-unidades-org%C3%A1nicas-del-gobierno-regional-piura</w:t>
            </w:r>
          </w:p>
        </w:tc>
      </w:tr>
      <w:tr w:rsidR="001A5524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jc w:val="both"/>
              <w:rPr>
                <w:rFonts w:ascii="Arial" w:eastAsia="Arial" w:hAnsi="Arial" w:cs="Arial"/>
              </w:rPr>
            </w:pPr>
            <w:r>
              <w:t xml:space="preserve">Contiene información sobre la captación de ingresos provenientes de las Unidades Orgánicas del Gobierno Regional Piura como resultado de las actividades de fiscalización que ejercen en materia </w:t>
            </w:r>
            <w:proofErr w:type="gramStart"/>
            <w:r>
              <w:t>de  salud</w:t>
            </w:r>
            <w:proofErr w:type="gramEnd"/>
            <w:r>
              <w:t>, producción, trabajo y ambiental.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t>Gobierno Regional de Piura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t>Oficina de Recaudación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t>Transparencia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:rsidR="001A5524" w:rsidRDefault="00F32560">
            <w:r>
              <w:rPr>
                <w:rFonts w:ascii="Arial" w:hAnsi="Arial" w:cs="Arial"/>
                <w:color w:val="000000"/>
              </w:rPr>
              <w:t>2023-05-20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r>
              <w:t>Mensual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1A5524" w:rsidRDefault="00EE32A1">
            <w:r>
              <w:rPr>
                <w:color w:val="000000"/>
              </w:rPr>
              <w:t>202</w:t>
            </w:r>
            <w:r>
              <w:t>3</w:t>
            </w:r>
            <w:r>
              <w:rPr>
                <w:color w:val="000000"/>
              </w:rPr>
              <w:t>-</w:t>
            </w:r>
            <w:r w:rsidR="00F32560">
              <w:rPr>
                <w:color w:val="000000"/>
              </w:rPr>
              <w:t>07-11</w:t>
            </w:r>
            <w:bookmarkStart w:id="0" w:name="_GoBack"/>
            <w:bookmarkEnd w:id="0"/>
            <w:r>
              <w:rPr>
                <w:color w:val="000000"/>
              </w:rPr>
              <w:t>, 10:00 (UTC-05:00)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1A5524" w:rsidRDefault="00F32560">
            <w:hyperlink r:id="rId5">
              <w:r w:rsidR="00EE32A1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EE32A1">
                <w:rPr>
                  <w:color w:val="0A77BD"/>
                  <w:u w:val="single"/>
                </w:rPr>
                <w:t>Commons</w:t>
              </w:r>
              <w:proofErr w:type="spellEnd"/>
              <w:r w:rsidR="00EE32A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EE32A1">
                <w:rPr>
                  <w:color w:val="0A77BD"/>
                  <w:u w:val="single"/>
                </w:rPr>
                <w:t>Attribution</w:t>
              </w:r>
              <w:proofErr w:type="spellEnd"/>
              <w:r w:rsidR="00EE32A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EE32A1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1A5524">
        <w:tc>
          <w:tcPr>
            <w:tcW w:w="2971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1A5524">
        <w:tc>
          <w:tcPr>
            <w:tcW w:w="2971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1A5524">
        <w:tc>
          <w:tcPr>
            <w:tcW w:w="2971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1A5524">
        <w:tc>
          <w:tcPr>
            <w:tcW w:w="2971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</w:rPr>
            </w:pPr>
            <w:r>
              <w:t>Región Piura, 2023</w:t>
            </w:r>
          </w:p>
        </w:tc>
      </w:tr>
      <w:tr w:rsidR="001A5524">
        <w:tc>
          <w:tcPr>
            <w:tcW w:w="2971" w:type="dxa"/>
            <w:shd w:val="clear" w:color="auto" w:fill="auto"/>
          </w:tcPr>
          <w:p w:rsidR="001A5524" w:rsidRDefault="00EE32A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:rsidR="001A5524" w:rsidRDefault="00EE32A1">
            <w:r>
              <w:t>mchozo@regionpiura.gob.pe</w:t>
            </w:r>
          </w:p>
        </w:tc>
      </w:tr>
    </w:tbl>
    <w:p w:rsidR="001A5524" w:rsidRDefault="001A5524"/>
    <w:sectPr w:rsidR="001A5524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24"/>
    <w:rsid w:val="001A5524"/>
    <w:rsid w:val="00EE32A1"/>
    <w:rsid w:val="00F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8BB57"/>
  <w15:docId w15:val="{329DEEA7-0D9E-48F9-B2C1-D04A9C07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o5NQqKTudi8Nfys/xWN+ECBNg==">CgMxLjAyCGguZ2pkZ3hzOAByITFTVGQ5S1JQUFZQS0xUTUsxS19XN3FURndDdXBSUWhITQ==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Company>Gobierno Regional de Piura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3</cp:revision>
  <dcterms:created xsi:type="dcterms:W3CDTF">2021-10-20T17:24:00Z</dcterms:created>
  <dcterms:modified xsi:type="dcterms:W3CDTF">2023-07-11T22:05:00Z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