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A515" w14:textId="716C9CFA" w:rsidR="009F0CA5" w:rsidRPr="00B94585" w:rsidRDefault="009F0CA5" w:rsidP="00520F6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1C51456A" w14:textId="77777777" w:rsidR="00B94585" w:rsidRDefault="00B94585" w:rsidP="00520F69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7E11A95" w14:textId="57D53C80" w:rsidR="00504D0A" w:rsidRDefault="009F0CA5" w:rsidP="00520F69">
      <w:pPr>
        <w:spacing w:after="0" w:line="276" w:lineRule="auto"/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187E48">
        <w:rPr>
          <w:rFonts w:asciiTheme="majorHAnsi" w:hAnsiTheme="majorHAnsi" w:cstheme="majorHAnsi"/>
        </w:rPr>
        <w:t xml:space="preserve">Licencias de </w:t>
      </w:r>
      <w:r w:rsidR="00850BD2">
        <w:rPr>
          <w:rFonts w:asciiTheme="majorHAnsi" w:hAnsiTheme="majorHAnsi" w:cstheme="majorHAnsi"/>
        </w:rPr>
        <w:t>f</w:t>
      </w:r>
      <w:r w:rsidR="00187E48">
        <w:rPr>
          <w:rFonts w:asciiTheme="majorHAnsi" w:hAnsiTheme="majorHAnsi" w:cstheme="majorHAnsi"/>
        </w:rPr>
        <w:t>uncionamiento</w:t>
      </w:r>
      <w:r w:rsidR="00AA7B7C">
        <w:rPr>
          <w:rFonts w:asciiTheme="majorHAnsi" w:hAnsiTheme="majorHAnsi" w:cstheme="majorHAnsi"/>
        </w:rPr>
        <w:t xml:space="preserve"> del distrito de Cajamarca</w:t>
      </w:r>
      <w:r w:rsidR="00DF476E">
        <w:rPr>
          <w:rFonts w:asciiTheme="majorHAnsi" w:hAnsiTheme="majorHAnsi" w:cstheme="majorHAnsi"/>
        </w:rPr>
        <w:t xml:space="preserve"> </w:t>
      </w:r>
      <w:r w:rsidR="00F531CA">
        <w:rPr>
          <w:rFonts w:asciiTheme="majorHAnsi" w:hAnsiTheme="majorHAnsi" w:cstheme="majorHAnsi"/>
        </w:rPr>
        <w:t>-</w:t>
      </w:r>
      <w:r w:rsidRPr="00BE2CC3">
        <w:rPr>
          <w:rFonts w:asciiTheme="majorHAnsi" w:hAnsiTheme="majorHAnsi" w:cstheme="majorHAnsi"/>
        </w:rPr>
        <w:t xml:space="preserve"> [</w:t>
      </w:r>
      <w:r w:rsidR="00187E48">
        <w:rPr>
          <w:rFonts w:asciiTheme="majorHAnsi" w:hAnsiTheme="majorHAnsi" w:cstheme="majorHAnsi"/>
        </w:rPr>
        <w:t xml:space="preserve">Municipalidad </w:t>
      </w:r>
      <w:r w:rsidR="00AA7B7C">
        <w:rPr>
          <w:rFonts w:asciiTheme="majorHAnsi" w:hAnsiTheme="majorHAnsi" w:cstheme="majorHAnsi"/>
        </w:rPr>
        <w:t xml:space="preserve">Provincial </w:t>
      </w:r>
      <w:r w:rsidR="00187E48">
        <w:rPr>
          <w:rFonts w:asciiTheme="majorHAnsi" w:hAnsiTheme="majorHAnsi" w:cstheme="majorHAnsi"/>
        </w:rPr>
        <w:t>de Cajamarca</w:t>
      </w:r>
      <w:r w:rsidRPr="00BE2CC3">
        <w:rPr>
          <w:rFonts w:asciiTheme="majorHAnsi" w:hAnsiTheme="majorHAnsi" w:cstheme="majorHAnsi"/>
        </w:rPr>
        <w:t>]</w:t>
      </w:r>
    </w:p>
    <w:p w14:paraId="5DF7F6C7" w14:textId="77777777" w:rsidR="00A8669D" w:rsidRDefault="00A8669D" w:rsidP="00520F69">
      <w:pPr>
        <w:spacing w:after="0" w:line="276" w:lineRule="auto"/>
        <w:jc w:val="both"/>
        <w:rPr>
          <w:rFonts w:asciiTheme="majorHAnsi" w:hAnsiTheme="majorHAnsi" w:cstheme="majorHAnsi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504D0A" w:rsidRPr="00746FBB" w14:paraId="30B6BD9E" w14:textId="77777777" w:rsidTr="00B94585">
        <w:trPr>
          <w:trHeight w:val="570"/>
        </w:trPr>
        <w:tc>
          <w:tcPr>
            <w:tcW w:w="2972" w:type="dxa"/>
            <w:vAlign w:val="center"/>
          </w:tcPr>
          <w:p w14:paraId="2E49C04D" w14:textId="273124D6" w:rsidR="00504D0A" w:rsidRPr="00746FBB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804" w:type="dxa"/>
            <w:vAlign w:val="center"/>
          </w:tcPr>
          <w:p w14:paraId="301BAC89" w14:textId="761D3C71" w:rsidR="00B94585" w:rsidRPr="00746FBB" w:rsidRDefault="00AA7B7C" w:rsidP="00B945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Licencias de </w:t>
            </w:r>
            <w:r w:rsidR="00850BD2"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uncionamiento del distrito de Cajamarca - [Municipalidad Provincial de Cajamarca]</w:t>
            </w:r>
          </w:p>
        </w:tc>
      </w:tr>
      <w:tr w:rsidR="00504D0A" w:rsidRPr="00746FBB" w14:paraId="1E2BA938" w14:textId="77777777" w:rsidTr="00B94585">
        <w:trPr>
          <w:trHeight w:val="280"/>
        </w:trPr>
        <w:tc>
          <w:tcPr>
            <w:tcW w:w="2972" w:type="dxa"/>
            <w:vAlign w:val="center"/>
          </w:tcPr>
          <w:p w14:paraId="17CCE901" w14:textId="235EEF53" w:rsidR="00504D0A" w:rsidRPr="00746FBB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804" w:type="dxa"/>
            <w:vAlign w:val="center"/>
          </w:tcPr>
          <w:p w14:paraId="0AF6190C" w14:textId="4B9C77A3" w:rsidR="00B94585" w:rsidRPr="00746FBB" w:rsidRDefault="006A6DEC" w:rsidP="006A6D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A6DEC">
              <w:rPr>
                <w:rFonts w:asciiTheme="majorHAnsi" w:hAnsiTheme="majorHAnsi" w:cstheme="majorHAnsi"/>
                <w:sz w:val="20"/>
                <w:szCs w:val="20"/>
              </w:rPr>
              <w:t>https://www.datosabiertos.gob.pe/dataset/licencias-de-funcionamiento-del-distrito-de-cajamarca-municipalidad-provincial-de-cajamarca</w:t>
            </w:r>
          </w:p>
        </w:tc>
      </w:tr>
      <w:tr w:rsidR="00504D0A" w:rsidRPr="00746FBB" w14:paraId="2EC58AEF" w14:textId="77777777" w:rsidTr="00AB0152">
        <w:trPr>
          <w:trHeight w:val="2722"/>
        </w:trPr>
        <w:tc>
          <w:tcPr>
            <w:tcW w:w="2972" w:type="dxa"/>
            <w:shd w:val="clear" w:color="auto" w:fill="auto"/>
            <w:vAlign w:val="center"/>
          </w:tcPr>
          <w:p w14:paraId="24E79BF0" w14:textId="0C1004DE" w:rsidR="00504D0A" w:rsidRPr="00746FBB" w:rsidRDefault="00504D0A" w:rsidP="0050487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1B7C57F" w14:textId="77777777" w:rsidR="00B94585" w:rsidRDefault="00B94585" w:rsidP="00520F69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064C23" w14:textId="42C66FB2" w:rsidR="009C6688" w:rsidRPr="00746FBB" w:rsidRDefault="002D04CF" w:rsidP="00520F69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Las licencias de funcionamiento son la autorización que</w:t>
            </w:r>
            <w:r w:rsidR="00C656C4"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 brinda la Municipalidad de Cajamarca a los</w:t>
            </w: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 establecimientos </w:t>
            </w:r>
            <w:r w:rsidR="00C656C4"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para que </w:t>
            </w:r>
            <w:r w:rsidR="002F0947" w:rsidRPr="00746FBB">
              <w:rPr>
                <w:rFonts w:asciiTheme="majorHAnsi" w:hAnsiTheme="majorHAnsi" w:cstheme="majorHAnsi"/>
                <w:sz w:val="20"/>
                <w:szCs w:val="20"/>
              </w:rPr>
              <w:t>puedan</w:t>
            </w:r>
            <w:r w:rsidR="00C656C4"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funcionar de manera legal</w:t>
            </w:r>
            <w:r w:rsidR="00C656C4" w:rsidRPr="00746FBB">
              <w:rPr>
                <w:rFonts w:asciiTheme="majorHAnsi" w:hAnsiTheme="majorHAnsi" w:cstheme="majorHAnsi"/>
                <w:sz w:val="20"/>
                <w:szCs w:val="20"/>
              </w:rPr>
              <w:t>. Para obtener un</w:t>
            </w:r>
            <w:r w:rsidR="006868C0" w:rsidRPr="00746FBB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C656C4"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 licencia de funcionamiento de un establecimiento el interesado realiza un </w:t>
            </w:r>
            <w:r w:rsidR="00E37EB7" w:rsidRPr="00746FBB">
              <w:rPr>
                <w:rFonts w:asciiTheme="majorHAnsi" w:hAnsiTheme="majorHAnsi" w:cstheme="majorHAnsi"/>
                <w:sz w:val="20"/>
                <w:szCs w:val="20"/>
              </w:rPr>
              <w:t>trámite</w:t>
            </w:r>
            <w:r w:rsidR="00C656C4"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FA2D03"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en el cual se registran los datos de RUC, Razón Social, Local, </w:t>
            </w:r>
            <w:r w:rsidR="009C6688" w:rsidRPr="00746FBB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  <w:r w:rsidR="00FA2D03"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, Giro, etc, y paga por el respectivo tramite, como </w:t>
            </w:r>
            <w:r w:rsidR="002F0947" w:rsidRPr="00746FBB">
              <w:rPr>
                <w:rFonts w:asciiTheme="majorHAnsi" w:hAnsiTheme="majorHAnsi" w:cstheme="majorHAnsi"/>
                <w:sz w:val="20"/>
                <w:szCs w:val="20"/>
              </w:rPr>
              <w:t>resultado la Municipalidad</w:t>
            </w:r>
            <w:r w:rsidR="009C6688"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 genera un</w:t>
            </w:r>
            <w:r w:rsidR="00761EAE" w:rsidRPr="00746FBB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9C6688"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 Licencia de Funcionamiento con codificación única. </w:t>
            </w:r>
          </w:p>
          <w:p w14:paraId="7C8F1E7A" w14:textId="77777777" w:rsidR="00761EAE" w:rsidRPr="00746FBB" w:rsidRDefault="00761EAE" w:rsidP="00520F69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F6922E" w14:textId="0BE6811B" w:rsidR="00BA656B" w:rsidRPr="00746FBB" w:rsidRDefault="00BA656B" w:rsidP="00520F69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Cada registro representa una licencia de funcionamiento. Este dataset caracterizado por:</w:t>
            </w:r>
          </w:p>
          <w:p w14:paraId="46529DB1" w14:textId="188420C0" w:rsidR="00BA656B" w:rsidRPr="00746FBB" w:rsidRDefault="00BA656B" w:rsidP="00C66EFA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603" w:hanging="259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Departamento, provincia, distrito y ubigeo donde </w:t>
            </w:r>
            <w:r w:rsidR="00487055"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se otorgó la Licencia de Funcionamiento</w:t>
            </w:r>
            <w:r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.</w:t>
            </w:r>
          </w:p>
          <w:p w14:paraId="6A7864DE" w14:textId="729F39F0" w:rsidR="00BA656B" w:rsidRPr="00746FBB" w:rsidRDefault="00BA656B" w:rsidP="00C66EFA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603" w:hanging="259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Datos de la licencia de funcionamiento: código</w:t>
            </w:r>
            <w:r w:rsidR="00292FDB"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, fecha de expedición, fecha de cese, tipo licencia, estado licencia</w:t>
            </w:r>
            <w:r w:rsidR="007413E2"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.</w:t>
            </w:r>
          </w:p>
          <w:p w14:paraId="2569547C" w14:textId="533E61B8" w:rsidR="00DE0F5F" w:rsidRPr="00746FBB" w:rsidRDefault="00DE0F5F" w:rsidP="00C66EFA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603" w:hanging="259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Datos de la persona jurídica: RUC</w:t>
            </w:r>
            <w:r w:rsidR="00012AAF"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y </w:t>
            </w:r>
            <w:r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Razón Social.</w:t>
            </w:r>
          </w:p>
          <w:p w14:paraId="70510C42" w14:textId="1B37B6DF" w:rsidR="00761EAE" w:rsidRPr="00C66EFA" w:rsidRDefault="00BA656B" w:rsidP="00C66EFA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603" w:hanging="259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Datos del </w:t>
            </w:r>
            <w:r w:rsidR="007413E2"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Local</w:t>
            </w:r>
            <w:r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: </w:t>
            </w:r>
            <w:r w:rsidR="00012AAF" w:rsidRPr="00746FBB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nombre del local, dirección del local, nivel de riesgo y giro,</w:t>
            </w:r>
          </w:p>
          <w:p w14:paraId="21C8C709" w14:textId="4FCF0121" w:rsidR="00012AAF" w:rsidRPr="00C66EFA" w:rsidRDefault="00012AAF" w:rsidP="00C66EFA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603" w:hanging="259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C66EFA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Datos del Trámite: costo.</w:t>
            </w:r>
          </w:p>
          <w:p w14:paraId="1768E929" w14:textId="11859148" w:rsidR="00187E48" w:rsidRPr="00746FBB" w:rsidRDefault="00187E48" w:rsidP="0050487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D0A" w:rsidRPr="00746FBB" w14:paraId="283C9B4F" w14:textId="77777777" w:rsidTr="00AB0152">
        <w:tc>
          <w:tcPr>
            <w:tcW w:w="2972" w:type="dxa"/>
            <w:vAlign w:val="center"/>
          </w:tcPr>
          <w:p w14:paraId="51D63ABD" w14:textId="5D977796" w:rsidR="00504D0A" w:rsidRPr="00746FBB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804" w:type="dxa"/>
          </w:tcPr>
          <w:p w14:paraId="391CFDAD" w14:textId="6BF313D0" w:rsidR="00504D0A" w:rsidRPr="00746FBB" w:rsidRDefault="00187E48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Municipalidad </w:t>
            </w:r>
            <w:r w:rsidR="003C6694"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Provincial </w:t>
            </w: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de Cajamarca</w:t>
            </w:r>
          </w:p>
        </w:tc>
      </w:tr>
      <w:tr w:rsidR="00504D0A" w:rsidRPr="00746FBB" w14:paraId="1598F2E3" w14:textId="77777777" w:rsidTr="00AB0152">
        <w:tc>
          <w:tcPr>
            <w:tcW w:w="2972" w:type="dxa"/>
            <w:vAlign w:val="center"/>
          </w:tcPr>
          <w:p w14:paraId="4723B4D8" w14:textId="16D3A583" w:rsidR="00504D0A" w:rsidRPr="00746FBB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804" w:type="dxa"/>
          </w:tcPr>
          <w:p w14:paraId="14AEEBCE" w14:textId="6546F8F7" w:rsidR="00504D0A" w:rsidRPr="00746FBB" w:rsidRDefault="00964480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Oficina de Tecnologías de la Información</w:t>
            </w:r>
          </w:p>
        </w:tc>
      </w:tr>
      <w:tr w:rsidR="00504D0A" w:rsidRPr="00746FBB" w14:paraId="28E3066C" w14:textId="77777777" w:rsidTr="00AB0152">
        <w:tc>
          <w:tcPr>
            <w:tcW w:w="2972" w:type="dxa"/>
            <w:vAlign w:val="center"/>
          </w:tcPr>
          <w:p w14:paraId="316C6F46" w14:textId="50815B45" w:rsidR="00504D0A" w:rsidRPr="00746FBB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804" w:type="dxa"/>
          </w:tcPr>
          <w:p w14:paraId="5B88C464" w14:textId="77FB5101" w:rsidR="00504D0A" w:rsidRPr="00746FBB" w:rsidRDefault="00187E48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Licencias, funcionamiento</w:t>
            </w:r>
          </w:p>
        </w:tc>
      </w:tr>
      <w:tr w:rsidR="00504D0A" w:rsidRPr="00746FBB" w14:paraId="43175C4D" w14:textId="77777777" w:rsidTr="00AB0152">
        <w:tc>
          <w:tcPr>
            <w:tcW w:w="2972" w:type="dxa"/>
            <w:vAlign w:val="center"/>
          </w:tcPr>
          <w:p w14:paraId="12BAD6F9" w14:textId="0D974740" w:rsidR="00504D0A" w:rsidRPr="00746FBB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804" w:type="dxa"/>
          </w:tcPr>
          <w:p w14:paraId="71ED991A" w14:textId="11F9BD09" w:rsidR="00504D0A" w:rsidRPr="00746FBB" w:rsidRDefault="009952FE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2023-0</w:t>
            </w:r>
            <w:r w:rsidR="00AA7B7C" w:rsidRPr="00746FBB">
              <w:rPr>
                <w:rFonts w:asciiTheme="majorHAnsi" w:hAnsiTheme="majorHAnsi" w:cstheme="majorHAnsi"/>
                <w:sz w:val="20"/>
                <w:szCs w:val="20"/>
              </w:rPr>
              <w:t>6-15</w:t>
            </w:r>
          </w:p>
        </w:tc>
      </w:tr>
      <w:tr w:rsidR="00504D0A" w:rsidRPr="00746FBB" w14:paraId="011842A8" w14:textId="77777777" w:rsidTr="00AB0152">
        <w:tc>
          <w:tcPr>
            <w:tcW w:w="2972" w:type="dxa"/>
            <w:vAlign w:val="center"/>
          </w:tcPr>
          <w:p w14:paraId="35EB519A" w14:textId="7F952C47" w:rsidR="00504D0A" w:rsidRPr="00746FBB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804" w:type="dxa"/>
          </w:tcPr>
          <w:p w14:paraId="234AA13C" w14:textId="728AF172" w:rsidR="00504D0A" w:rsidRPr="00746FBB" w:rsidRDefault="00813B23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3B23">
              <w:rPr>
                <w:rFonts w:asciiTheme="majorHAnsi" w:hAnsiTheme="majorHAnsi" w:cstheme="majorHAnsi"/>
                <w:sz w:val="20"/>
                <w:szCs w:val="20"/>
              </w:rPr>
              <w:t>Cuatrienal</w:t>
            </w:r>
          </w:p>
        </w:tc>
      </w:tr>
      <w:tr w:rsidR="00CD25C2" w:rsidRPr="00746FBB" w14:paraId="2C94159F" w14:textId="77777777" w:rsidTr="00AB0152">
        <w:tc>
          <w:tcPr>
            <w:tcW w:w="2972" w:type="dxa"/>
            <w:vAlign w:val="center"/>
          </w:tcPr>
          <w:p w14:paraId="4C1DE0E1" w14:textId="18D08B51" w:rsidR="00CD25C2" w:rsidRPr="00746FBB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804" w:type="dxa"/>
            <w:vAlign w:val="center"/>
          </w:tcPr>
          <w:p w14:paraId="1B051219" w14:textId="7AAA6D2A" w:rsidR="00CD25C2" w:rsidRPr="00746FBB" w:rsidRDefault="009952FE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2023-0</w:t>
            </w:r>
            <w:r w:rsidR="00AA7B7C" w:rsidRPr="00746FBB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AA7B7C" w:rsidRPr="00746FBB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</w:tr>
      <w:tr w:rsidR="00CD25C2" w:rsidRPr="00746FBB" w14:paraId="3F74AE2E" w14:textId="77777777" w:rsidTr="00AB0152">
        <w:tc>
          <w:tcPr>
            <w:tcW w:w="2972" w:type="dxa"/>
            <w:vAlign w:val="center"/>
          </w:tcPr>
          <w:p w14:paraId="59316C5D" w14:textId="137D6F15" w:rsidR="00CD25C2" w:rsidRPr="00746FBB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804" w:type="dxa"/>
            <w:vAlign w:val="center"/>
          </w:tcPr>
          <w:p w14:paraId="682DC893" w14:textId="2DFB40B3" w:rsidR="00CD25C2" w:rsidRPr="00746FBB" w:rsidRDefault="00187E48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V1.0</w:t>
            </w:r>
          </w:p>
        </w:tc>
      </w:tr>
      <w:tr w:rsidR="00CD25C2" w:rsidRPr="00746FBB" w14:paraId="7EBCCDEC" w14:textId="77777777" w:rsidTr="00AB0152">
        <w:tc>
          <w:tcPr>
            <w:tcW w:w="2972" w:type="dxa"/>
            <w:vAlign w:val="center"/>
          </w:tcPr>
          <w:p w14:paraId="083F45C8" w14:textId="4E1B2523" w:rsidR="00CD25C2" w:rsidRPr="00746FBB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804" w:type="dxa"/>
            <w:vAlign w:val="center"/>
          </w:tcPr>
          <w:p w14:paraId="2A8300A7" w14:textId="2B67E942" w:rsidR="00CD25C2" w:rsidRPr="00746FBB" w:rsidRDefault="00813B23" w:rsidP="00CD25C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hyperlink r:id="rId5" w:history="1">
              <w:r w:rsidR="00CD25C2" w:rsidRPr="00746FBB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D25C2" w:rsidRPr="00746FBB" w14:paraId="50813B98" w14:textId="77777777" w:rsidTr="00AB0152">
        <w:tc>
          <w:tcPr>
            <w:tcW w:w="2972" w:type="dxa"/>
            <w:vAlign w:val="center"/>
          </w:tcPr>
          <w:p w14:paraId="78F51BD0" w14:textId="026C8583" w:rsidR="00CD25C2" w:rsidRPr="00746FBB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804" w:type="dxa"/>
            <w:vAlign w:val="center"/>
          </w:tcPr>
          <w:p w14:paraId="00A83837" w14:textId="4C6C4345" w:rsidR="00CD25C2" w:rsidRPr="00746FBB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D25C2" w:rsidRPr="00746FBB" w14:paraId="1117E997" w14:textId="77777777" w:rsidTr="00AB0152">
        <w:tc>
          <w:tcPr>
            <w:tcW w:w="2972" w:type="dxa"/>
            <w:vAlign w:val="center"/>
          </w:tcPr>
          <w:p w14:paraId="1CADEF4B" w14:textId="184AA53E" w:rsidR="00CD25C2" w:rsidRPr="00746FBB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804" w:type="dxa"/>
            <w:vAlign w:val="center"/>
          </w:tcPr>
          <w:p w14:paraId="64FB206D" w14:textId="705D940B" w:rsidR="00CD25C2" w:rsidRPr="00746FBB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D25C2" w:rsidRPr="00746FBB" w14:paraId="7E0D1F8D" w14:textId="77777777" w:rsidTr="00AB0152">
        <w:tc>
          <w:tcPr>
            <w:tcW w:w="2972" w:type="dxa"/>
          </w:tcPr>
          <w:p w14:paraId="44582A03" w14:textId="175F5ABC" w:rsidR="00CD25C2" w:rsidRPr="00746FBB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804" w:type="dxa"/>
          </w:tcPr>
          <w:p w14:paraId="203A77A8" w14:textId="328AECF8" w:rsidR="00CD25C2" w:rsidRPr="00746FBB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</w:p>
        </w:tc>
      </w:tr>
      <w:tr w:rsidR="00CD25C2" w:rsidRPr="00746FBB" w14:paraId="002B4018" w14:textId="77777777" w:rsidTr="00AB0152">
        <w:tc>
          <w:tcPr>
            <w:tcW w:w="2972" w:type="dxa"/>
          </w:tcPr>
          <w:p w14:paraId="7C20EDCE" w14:textId="0318ABEF" w:rsidR="00CD25C2" w:rsidRPr="00746FBB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6804" w:type="dxa"/>
          </w:tcPr>
          <w:p w14:paraId="4E46760A" w14:textId="1FBB55B3" w:rsidR="00CD25C2" w:rsidRPr="00746FBB" w:rsidRDefault="00CD25C2" w:rsidP="00CD25C2">
            <w:pPr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</w:tc>
      </w:tr>
      <w:tr w:rsidR="00CD25C2" w:rsidRPr="00746FBB" w14:paraId="7A5EEEA5" w14:textId="77777777" w:rsidTr="00AB0152">
        <w:tc>
          <w:tcPr>
            <w:tcW w:w="2972" w:type="dxa"/>
          </w:tcPr>
          <w:p w14:paraId="14C8EAEF" w14:textId="0A3D3873" w:rsidR="00CD25C2" w:rsidRPr="00746FBB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6804" w:type="dxa"/>
          </w:tcPr>
          <w:p w14:paraId="29A0014F" w14:textId="248A7116" w:rsidR="00CD25C2" w:rsidRPr="00746FBB" w:rsidRDefault="00055710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Perú</w:t>
            </w:r>
            <w:r w:rsidR="00AA7B7C" w:rsidRPr="00746FBB">
              <w:rPr>
                <w:rFonts w:asciiTheme="majorHAnsi" w:hAnsiTheme="majorHAnsi" w:cstheme="majorHAnsi"/>
                <w:sz w:val="20"/>
                <w:szCs w:val="20"/>
              </w:rPr>
              <w:t>, Cajamarca</w:t>
            </w: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E5B97" w:rsidRPr="00746FBB">
              <w:rPr>
                <w:rFonts w:asciiTheme="majorHAnsi" w:hAnsiTheme="majorHAnsi" w:cstheme="majorHAnsi"/>
                <w:sz w:val="20"/>
                <w:szCs w:val="20"/>
              </w:rPr>
              <w:t>2019-</w:t>
            </w:r>
            <w:r w:rsidRPr="00746FBB">
              <w:rPr>
                <w:rFonts w:asciiTheme="majorHAnsi" w:hAnsiTheme="majorHAnsi" w:cstheme="majorHAnsi"/>
                <w:sz w:val="20"/>
                <w:szCs w:val="20"/>
              </w:rPr>
              <w:t>2022</w:t>
            </w:r>
          </w:p>
        </w:tc>
      </w:tr>
      <w:tr w:rsidR="00CD25C2" w:rsidRPr="00746FBB" w14:paraId="494AA20C" w14:textId="77777777" w:rsidTr="00AB0152">
        <w:tc>
          <w:tcPr>
            <w:tcW w:w="2972" w:type="dxa"/>
          </w:tcPr>
          <w:p w14:paraId="6E758B40" w14:textId="2431496E" w:rsidR="00CD25C2" w:rsidRPr="00746FBB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46F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6804" w:type="dxa"/>
          </w:tcPr>
          <w:p w14:paraId="4E87C2D7" w14:textId="32090E78" w:rsidR="00CD25C2" w:rsidRPr="00746FBB" w:rsidRDefault="001216D9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datos.abiertos</w:t>
            </w:r>
            <w:r w:rsidR="006159B8" w:rsidRPr="00746FBB">
              <w:rPr>
                <w:rFonts w:asciiTheme="majorHAnsi" w:hAnsiTheme="majorHAnsi" w:cstheme="majorHAnsi"/>
                <w:sz w:val="20"/>
                <w:szCs w:val="20"/>
              </w:rPr>
              <w:t>@municaj.gob.pe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B224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3115"/>
    <w:multiLevelType w:val="hybridMultilevel"/>
    <w:tmpl w:val="634CD1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132E22"/>
    <w:multiLevelType w:val="hybridMultilevel"/>
    <w:tmpl w:val="29563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2989">
    <w:abstractNumId w:val="5"/>
  </w:num>
  <w:num w:numId="2" w16cid:durableId="530842459">
    <w:abstractNumId w:val="3"/>
  </w:num>
  <w:num w:numId="3" w16cid:durableId="1383023713">
    <w:abstractNumId w:val="1"/>
  </w:num>
  <w:num w:numId="4" w16cid:durableId="1764836946">
    <w:abstractNumId w:val="0"/>
  </w:num>
  <w:num w:numId="5" w16cid:durableId="743723425">
    <w:abstractNumId w:val="4"/>
  </w:num>
  <w:num w:numId="6" w16cid:durableId="224920478">
    <w:abstractNumId w:val="6"/>
  </w:num>
  <w:num w:numId="7" w16cid:durableId="1013263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2AAF"/>
    <w:rsid w:val="00055710"/>
    <w:rsid w:val="00092EA3"/>
    <w:rsid w:val="000F4B89"/>
    <w:rsid w:val="00116DF8"/>
    <w:rsid w:val="001216D9"/>
    <w:rsid w:val="00182C03"/>
    <w:rsid w:val="00187E48"/>
    <w:rsid w:val="0020585A"/>
    <w:rsid w:val="00292FDB"/>
    <w:rsid w:val="00297BE5"/>
    <w:rsid w:val="002D04CF"/>
    <w:rsid w:val="002F0947"/>
    <w:rsid w:val="00306482"/>
    <w:rsid w:val="003B3086"/>
    <w:rsid w:val="003C6694"/>
    <w:rsid w:val="003D0AF5"/>
    <w:rsid w:val="003D6FF9"/>
    <w:rsid w:val="003E4836"/>
    <w:rsid w:val="004271AB"/>
    <w:rsid w:val="00487055"/>
    <w:rsid w:val="0048753E"/>
    <w:rsid w:val="004C2DB9"/>
    <w:rsid w:val="004E5B97"/>
    <w:rsid w:val="004F1D9B"/>
    <w:rsid w:val="00504878"/>
    <w:rsid w:val="00504D0A"/>
    <w:rsid w:val="00520F69"/>
    <w:rsid w:val="0053263F"/>
    <w:rsid w:val="005F2C43"/>
    <w:rsid w:val="006159B8"/>
    <w:rsid w:val="00636A28"/>
    <w:rsid w:val="00647FB5"/>
    <w:rsid w:val="00682CD5"/>
    <w:rsid w:val="006868C0"/>
    <w:rsid w:val="006A6DEC"/>
    <w:rsid w:val="0070589E"/>
    <w:rsid w:val="00717CED"/>
    <w:rsid w:val="007413E2"/>
    <w:rsid w:val="00744C4E"/>
    <w:rsid w:val="00746FBB"/>
    <w:rsid w:val="00761EAE"/>
    <w:rsid w:val="007840A6"/>
    <w:rsid w:val="00784397"/>
    <w:rsid w:val="00813B23"/>
    <w:rsid w:val="00850BD2"/>
    <w:rsid w:val="008674CA"/>
    <w:rsid w:val="00876384"/>
    <w:rsid w:val="008B505E"/>
    <w:rsid w:val="008D3A2F"/>
    <w:rsid w:val="00904DBB"/>
    <w:rsid w:val="009379D2"/>
    <w:rsid w:val="0095347C"/>
    <w:rsid w:val="00962F24"/>
    <w:rsid w:val="00964480"/>
    <w:rsid w:val="009952FE"/>
    <w:rsid w:val="009A7FF5"/>
    <w:rsid w:val="009B0AA2"/>
    <w:rsid w:val="009C6688"/>
    <w:rsid w:val="009F0CA5"/>
    <w:rsid w:val="00A8669D"/>
    <w:rsid w:val="00AA7B7C"/>
    <w:rsid w:val="00AB0152"/>
    <w:rsid w:val="00AB1E58"/>
    <w:rsid w:val="00AB51FE"/>
    <w:rsid w:val="00AD160E"/>
    <w:rsid w:val="00B224BC"/>
    <w:rsid w:val="00B27C25"/>
    <w:rsid w:val="00B6616D"/>
    <w:rsid w:val="00B94585"/>
    <w:rsid w:val="00BA656B"/>
    <w:rsid w:val="00BE2CC3"/>
    <w:rsid w:val="00C656C4"/>
    <w:rsid w:val="00C66EFA"/>
    <w:rsid w:val="00C961F8"/>
    <w:rsid w:val="00CD25C2"/>
    <w:rsid w:val="00D00322"/>
    <w:rsid w:val="00D5559D"/>
    <w:rsid w:val="00D957C7"/>
    <w:rsid w:val="00DA6578"/>
    <w:rsid w:val="00DE0F5F"/>
    <w:rsid w:val="00DF476E"/>
    <w:rsid w:val="00E37EB7"/>
    <w:rsid w:val="00EB1A82"/>
    <w:rsid w:val="00F1229D"/>
    <w:rsid w:val="00F531CA"/>
    <w:rsid w:val="00F57402"/>
    <w:rsid w:val="00F66923"/>
    <w:rsid w:val="00F71199"/>
    <w:rsid w:val="00FA048A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Carlos Sánchez</cp:lastModifiedBy>
  <cp:revision>42</cp:revision>
  <dcterms:created xsi:type="dcterms:W3CDTF">2023-05-22T16:03:00Z</dcterms:created>
  <dcterms:modified xsi:type="dcterms:W3CDTF">2023-06-14T16:23:00Z</dcterms:modified>
</cp:coreProperties>
</file>