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 w:asciiTheme="majorHAnsi" w:cstheme="majorHAnsi" w:hAnsiTheme="majorHAnsi"/>
          <w:b/>
          <w:bCs/>
          <w:sz w:val="24"/>
          <w:szCs w:val="24"/>
          <w:u w:val="single"/>
        </w:rPr>
      </w:pPr>
      <w:r>
        <w:rPr>
          <w:rFonts w:cs="Arial" w:cstheme="majorHAnsi"/>
          <w:b/>
          <w:bCs/>
          <w:sz w:val="24"/>
          <w:szCs w:val="24"/>
          <w:u w:val="single"/>
        </w:rPr>
        <w:t>METADATOS</w:t>
      </w:r>
    </w:p>
    <w:p>
      <w:pPr>
        <w:pStyle w:val="Normal"/>
        <w:rPr>
          <w:rFonts w:ascii="Arial" w:hAnsi="Arial" w:cs="Arial" w:asciiTheme="majorHAnsi" w:cstheme="majorHAnsi" w:hAnsiTheme="majorHAnsi"/>
        </w:rPr>
      </w:pPr>
      <w:r>
        <w:rPr>
          <w:rFonts w:cs="Arial" w:cstheme="majorHAnsi"/>
        </w:rPr>
      </w:r>
    </w:p>
    <w:p>
      <w:pPr>
        <w:pStyle w:val="Normal"/>
        <w:rPr>
          <w:rFonts w:ascii="Arial" w:hAnsi="Arial" w:cs="Arial" w:asciiTheme="majorHAnsi" w:cstheme="majorHAnsi" w:hAnsiTheme="majorHAnsi"/>
        </w:rPr>
      </w:pPr>
      <w:r>
        <w:rPr>
          <w:rFonts w:cs="Arial" w:cstheme="majorHAnsi"/>
        </w:rPr>
        <w:t xml:space="preserve">Metadatos del dataset:  </w:t>
      </w:r>
      <w:r>
        <w:rPr>
          <w:rFonts w:cs="Arial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 xml:space="preserve"> </w:t>
      </w:r>
      <w:r>
        <w:rPr>
          <w:rFonts w:cs="Arial" w:cstheme="majorHAns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 xml:space="preserve"> Frecuencia de visitas turísticas en las Áreas Naturales Protegidas por el estado – [Servicio Nacional de Áreas Naturales Protegidas por el Estado – SERNANP]</w:t>
      </w:r>
    </w:p>
    <w:p>
      <w:pPr>
        <w:pStyle w:val="Normal"/>
        <w:rPr>
          <w:rFonts w:ascii="Arial" w:hAnsi="Arial" w:cs="Arial" w:asciiTheme="majorHAnsi" w:cstheme="majorHAnsi" w:hAnsiTheme="majorHAnsi"/>
          <w:vanish/>
        </w:rPr>
      </w:pPr>
      <w:r>
        <w:rPr>
          <w:rFonts w:cs="Arial" w:cstheme="majorHAnsi"/>
          <w:vanish/>
        </w:rPr>
      </w:r>
    </w:p>
    <w:p>
      <w:pPr>
        <w:pStyle w:val="Normal"/>
        <w:rPr>
          <w:rFonts w:ascii="Arial" w:hAnsi="Arial" w:cs="Arial" w:asciiTheme="majorHAnsi" w:cstheme="majorHAnsi" w:hAnsiTheme="majorHAnsi"/>
          <w:vanish/>
        </w:rPr>
      </w:pPr>
      <w:r>
        <w:rPr>
          <w:rFonts w:cs="Arial" w:cstheme="majorHAnsi"/>
        </w:rPr>
        <w:t xml:space="preserve"> </w:t>
      </w:r>
    </w:p>
    <w:p>
      <w:pPr>
        <w:pStyle w:val="Normal"/>
        <w:rPr>
          <w:rFonts w:ascii="Arial" w:hAnsi="Arial" w:cs="Arial" w:asciiTheme="majorHAnsi" w:cstheme="majorHAnsi" w:hAnsiTheme="majorHAnsi"/>
        </w:rPr>
      </w:pPr>
      <w:r>
        <w:rPr>
          <w:rFonts w:cs="Arial" w:cstheme="majorHAnsi"/>
        </w:rPr>
        <w:t xml:space="preserve"> </w:t>
      </w:r>
    </w:p>
    <w:tbl>
      <w:tblPr>
        <w:tblStyle w:val="Tablaconcuadrcula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1"/>
        <w:gridCol w:w="7484"/>
      </w:tblGrid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Título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  <w:t>Frecuencia de visitas turísticas en las Áreas Naturales Protegidas por el estado – [Servicio Nacional de Áreas Naturales Protegidas por el Estado – SERNANP]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Título URL Descripción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  <w:t>https://www.datosabiertos.gob.pe/dataset/frecuencia-de-visitas-tur%C3%ADsticas-en-las-%C3%A1reas-naturales-protegidas-por-el-estado-%E2%80%93-servicio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Arial" w:cstheme="majorHAnsi"/>
                <w:sz w:val="22"/>
                <w:highlight w:val="none"/>
                <w:shd w:fill="auto" w:val="clear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shd w:fill="auto" w:val="clear"/>
                <w:lang w:val="es-MX" w:eastAsia="en-US" w:bidi="ar-SA"/>
              </w:rPr>
              <w:t>Descripción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  <w:t>Cada registro representa el número o frecuencia de  la visita turísticas en las Áreas Naturales Protegidas a nivel Nacional.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  <w:t>Recopila información de la procedencia de turistas y frecuencia de visitas durante todo el año.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  <w:sz w:val="22"/>
                <w:highlight w:val="none"/>
                <w:shd w:fill="auto" w:val="clear"/>
              </w:rPr>
            </w:pPr>
            <w:r>
              <w:rPr>
                <w:rFonts w:cs="Arial" w:cstheme="majorHAnsi"/>
                <w:sz w:val="22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highlight w:val="none"/>
                <w:shd w:fill="auto" w:val="clear"/>
              </w:rPr>
            </w:pPr>
            <w:r>
              <w:rPr>
                <w:rFonts w:cs="Arial" w:cstheme="majorHAnsi"/>
                <w:sz w:val="22"/>
                <w:shd w:fill="auto" w:val="clear"/>
              </w:rPr>
              <w:t>SENANP tiene en total 77 Áreas Naturales Protegidas de administración Nacional de los cuales 3</w:t>
            </w:r>
            <w:r>
              <w:rPr>
                <w:rFonts w:cs="Arial" w:cstheme="majorHAnsi"/>
                <w:sz w:val="22"/>
                <w:shd w:fill="auto" w:val="clear"/>
              </w:rPr>
              <w:t>6</w:t>
            </w:r>
            <w:r>
              <w:rPr>
                <w:rFonts w:cs="Arial" w:cstheme="majorHAnsi"/>
                <w:sz w:val="22"/>
                <w:shd w:fill="auto" w:val="clear"/>
              </w:rPr>
              <w:t xml:space="preserve"> reportan actividades turísticas.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  <w:sz w:val="22"/>
                <w:highlight w:val="none"/>
                <w:shd w:fill="auto" w:val="clear"/>
              </w:rPr>
            </w:pPr>
            <w:r>
              <w:rPr>
                <w:rFonts w:cs="Arial" w:cstheme="majorHAnsi"/>
                <w:sz w:val="22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  <w:t>La dataset est</w:t>
            </w:r>
            <w:r>
              <w:rPr>
                <w:rFonts w:cs="Arial" w:cstheme="majorHAnsi"/>
                <w:sz w:val="22"/>
                <w:lang w:val="es-PE"/>
              </w:rPr>
              <w:t>á</w:t>
            </w:r>
            <w:r>
              <w:rPr>
                <w:rFonts w:cs="Arial" w:cstheme="majorHAnsi"/>
                <w:sz w:val="22"/>
              </w:rPr>
              <w:t xml:space="preserve"> caracterizado por: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  <w:t>Datos de Área Natural Protegida: Nombre, Sector, Departamento, Provincia y Distrito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  <w:t>Datos de turista: Procedencia, grupo de edad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  <w:t>Frecuencia de visitas: Fecha de la visita, Estadía 1 día de 2 a 3 días y 3 a 30 días.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72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Entidad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Servicio Nacional de Áreas Naturales Protegidas por el Estado – [SERNANP]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Fuente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Unidad Operativa Funcional de Gestión de Turismo de la Dirección de Gestión de las Áreas Naturales Protegidas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PE" w:eastAsia="en-US" w:bidi="ar-SA"/>
              </w:rPr>
              <w:t>Etiquetas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  <w:t>Turismo, Área Natural Protegida, Visitas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Fecha de creación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color w:themeColor="text1" w:val="000000"/>
                <w:kern w:val="2"/>
                <w:sz w:val="22"/>
                <w:szCs w:val="22"/>
                <w:lang w:val="es-PE" w:eastAsia="en-US" w:bidi="ar-SA"/>
              </w:rPr>
              <w:t>2024-05-17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Frecuencia de actualización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cs="Arial" w:cstheme="majorHAnsi"/>
                <w:sz w:val="22"/>
              </w:rPr>
              <w:t>Mensual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Última actualización</w:t>
            </w:r>
          </w:p>
        </w:tc>
        <w:tc>
          <w:tcPr>
            <w:tcW w:w="74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color w:themeColor="text1" w:val="000000"/>
                <w:kern w:val="2"/>
                <w:sz w:val="22"/>
                <w:szCs w:val="22"/>
                <w:lang w:val="es-PE" w:eastAsia="en-US" w:bidi="ar-SA"/>
              </w:rPr>
              <w:t>2024-05-17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Versión</w:t>
            </w:r>
          </w:p>
        </w:tc>
        <w:tc>
          <w:tcPr>
            <w:tcW w:w="74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  <w:lang w:val="en-GB"/>
              </w:rPr>
            </w:pPr>
            <w:r>
              <w:rPr>
                <w:rFonts w:cs="Arial" w:cstheme="majorHAnsi"/>
                <w:sz w:val="22"/>
                <w:lang w:val="en-GB"/>
              </w:rPr>
              <w:t>1.0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Licencia</w:t>
            </w:r>
          </w:p>
        </w:tc>
        <w:tc>
          <w:tcPr>
            <w:tcW w:w="74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hyperlink r:id="rId2">
              <w:r>
                <w:rPr>
                  <w:rStyle w:val="Hyperlink"/>
                  <w:rFonts w:eastAsia="Arial" w:cs="Arial" w:cstheme="majorHAnsi"/>
                  <w:color w:val="0A77BD"/>
                  <w:kern w:val="2"/>
                  <w:sz w:val="22"/>
                  <w:szCs w:val="22"/>
                  <w:lang w:val="en-US" w:eastAsia="en-US" w:bidi="ar-SA"/>
                </w:rPr>
                <w:t>Open Data Commons Attribution License</w:t>
              </w:r>
            </w:hyperlink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Idioma</w:t>
            </w:r>
          </w:p>
        </w:tc>
        <w:tc>
          <w:tcPr>
            <w:tcW w:w="74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color w:themeColor="text1" w:val="000000"/>
                <w:kern w:val="2"/>
                <w:sz w:val="22"/>
                <w:szCs w:val="22"/>
                <w:lang w:val="es-PE" w:eastAsia="en-US" w:bidi="ar-SA"/>
              </w:rPr>
              <w:t>Español</w:t>
            </w:r>
          </w:p>
        </w:tc>
      </w:tr>
      <w:tr>
        <w:trPr/>
        <w:tc>
          <w:tcPr>
            <w:tcW w:w="29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Nivel de acceso público</w:t>
            </w:r>
          </w:p>
        </w:tc>
        <w:tc>
          <w:tcPr>
            <w:tcW w:w="74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color w:themeColor="text1" w:val="000000"/>
                <w:kern w:val="2"/>
                <w:sz w:val="22"/>
                <w:szCs w:val="22"/>
                <w:lang w:val="es-PE" w:eastAsia="en-US" w:bidi="ar-SA"/>
              </w:rPr>
              <w:t>Público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lang w:val="es-MX" w:eastAsia="en-US" w:bidi="ar-SA"/>
              </w:rPr>
              <w:t>Tipo de recurso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Dataset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  <w:b/>
                <w:bCs/>
              </w:rPr>
            </w:pPr>
            <w:r>
              <w:rPr>
                <w:rFonts w:eastAsia="Arial" w:cs="Arial" w:cstheme="majorHAnsi"/>
                <w:b/>
                <w:bCs/>
                <w:kern w:val="0"/>
                <w:sz w:val="22"/>
                <w:szCs w:val="22"/>
                <w:lang w:val="es-PE" w:eastAsia="en-US" w:bidi="ar-SA"/>
              </w:rPr>
              <w:t>Formato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 w:asciiTheme="majorHAnsi" w:cstheme="majorHAnsi" w:hAnsiTheme="majorHAnsi"/>
              </w:rPr>
            </w:pPr>
            <w:r>
              <w:rPr>
                <w:rFonts w:eastAsia="Arial" w:cs="Arial" w:cstheme="majorHAnsi"/>
                <w:kern w:val="0"/>
                <w:sz w:val="22"/>
                <w:szCs w:val="22"/>
                <w:lang w:val="es-PE" w:eastAsia="en-US" w:bidi="ar-SA"/>
              </w:rPr>
              <w:t>CSV</w:t>
            </w:r>
          </w:p>
        </w:tc>
      </w:tr>
      <w:tr>
        <w:trPr/>
        <w:tc>
          <w:tcPr>
            <w:tcW w:w="2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Arial" w:cs="Arial" w:cstheme="majorHAnsi"/>
                <w:b/>
                <w:bCs/>
                <w:color w:themeColor="text1" w:val="000000"/>
                <w:kern w:val="2"/>
                <w:sz w:val="20"/>
                <w:szCs w:val="20"/>
                <w:shd w:fill="auto" w:val="clear"/>
                <w:lang w:val="es-MX" w:eastAsia="en-US" w:bidi="ar-SA"/>
              </w:rPr>
              <w:t>Cobertura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highlight w:val="none"/>
                <w:shd w:fill="auto" w:val="clear"/>
              </w:rPr>
            </w:pPr>
            <w:r>
              <w:rPr>
                <w:rFonts w:cs="Arial" w:cstheme="majorHAnsi"/>
                <w:sz w:val="22"/>
                <w:shd w:fill="auto" w:val="clear"/>
                <w:lang w:val="en-GB"/>
              </w:rPr>
              <w:t>Perú, 202</w:t>
            </w:r>
            <w:r>
              <w:rPr>
                <w:rFonts w:cs="Arial" w:cstheme="majorHAnsi"/>
                <w:sz w:val="22"/>
                <w:shd w:fill="auto" w:val="clear"/>
                <w:lang w:val="en-GB"/>
              </w:rPr>
              <w:t>2</w:t>
            </w:r>
            <w:r>
              <w:rPr>
                <w:rFonts w:cs="Arial" w:cstheme="majorHAnsi"/>
                <w:sz w:val="22"/>
                <w:shd w:fill="auto" w:val="clear"/>
                <w:lang w:val="en-GB"/>
              </w:rPr>
              <w:t xml:space="preserve"> - 202</w:t>
            </w:r>
            <w:r>
              <w:rPr>
                <w:rFonts w:cs="Arial" w:cstheme="majorHAnsi"/>
                <w:sz w:val="22"/>
                <w:shd w:fill="auto" w:val="clear"/>
                <w:lang w:val="en-GB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29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Arial" w:cs="Arial" w:cstheme="majorHAnsi"/>
                <w:b/>
                <w:bCs/>
                <w:kern w:val="0"/>
                <w:sz w:val="22"/>
                <w:szCs w:val="22"/>
                <w:shd w:fill="auto" w:val="clear"/>
                <w:lang w:val="es-PE" w:eastAsia="en-US" w:bidi="ar-SA"/>
              </w:rPr>
              <w:t>Correo de contacto</w:t>
            </w:r>
          </w:p>
        </w:tc>
        <w:tc>
          <w:tcPr>
            <w:tcW w:w="74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highlight w:val="none"/>
                <w:shd w:fill="auto" w:val="clear"/>
              </w:rPr>
            </w:pPr>
            <w:r>
              <w:rPr>
                <w:rFonts w:cs="Arial" w:cstheme="majorHAnsi"/>
                <w:sz w:val="22"/>
                <w:shd w:fill="auto" w:val="clear"/>
              </w:rPr>
              <w:t>rloayzaf</w:t>
            </w:r>
            <w:r>
              <w:rPr>
                <w:rFonts w:cs="Arial" w:cstheme="majorHAnsi"/>
                <w:sz w:val="22"/>
                <w:shd w:fill="auto" w:val="clear"/>
                <w:lang w:val="en-GB"/>
              </w:rPr>
              <w:t>@sernanp.gob.pe</w:t>
            </w:r>
          </w:p>
        </w:tc>
      </w:tr>
    </w:tbl>
    <w:p>
      <w:pPr>
        <w:pStyle w:val="Normal"/>
        <w:spacing w:before="0" w:after="160"/>
        <w:rPr>
          <w:rFonts w:ascii="Arial" w:hAnsi="Arial" w:cs="Arial" w:asciiTheme="majorHAnsi" w:cstheme="majorHAnsi" w:hAnsiTheme="majorHAnsi"/>
        </w:rPr>
      </w:pPr>
      <w:r>
        <w:rPr>
          <w:rFonts w:cs="Arial" w:cstheme="majorHAnsi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" w:asciiTheme="minorHAnsi" w:cstheme="minorBidi" w:eastAsiaTheme="minorHAnsi" w:hAnsiTheme="minorHAnsi"/>
        <w:sz w:val="22"/>
        <w:szCs w:val="22"/>
        <w:lang w:val="es-P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6578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" w:asciiTheme="minorHAnsi" w:cstheme="minorBidi" w:eastAsiaTheme="minorHAnsi" w:hAnsiTheme="minorHAnsi"/>
      <w:color w:val="auto"/>
      <w:kern w:val="0"/>
      <w:sz w:val="22"/>
      <w:szCs w:val="22"/>
      <w:lang w:val="es-PE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9f0ca5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f0ca5"/>
    <w:rPr>
      <w:color w:val="605E5C"/>
      <w:shd w:fill="E1DFDD" w:val="clear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ListParagraph">
    <w:name w:val="List Paragraph"/>
    <w:basedOn w:val="Normal"/>
    <w:uiPriority w:val="34"/>
    <w:qFormat/>
    <w:rsid w:val="009f0ca5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endefinition.org/licenses/odc-by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 pitchFamily="0" charset="1"/>
        <a:ea typeface=""/>
        <a:cs typeface=""/>
      </a:majorFont>
      <a:minorFont>
        <a:latin typeface="Arial" panose="020B06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Application>LibreOffice/7.6.4.1$Windows_X86_64 LibreOffice_project/e19e193f88cd6c0525a17fb7a176ed8e6a3e2aa1</Application>
  <AppVersion>15.0000</AppVersion>
  <Pages>1</Pages>
  <Words>228</Words>
  <Characters>1472</Characters>
  <CharactersWithSpaces>1666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2021-10-20T17:24:00Z</dcterms:created>
  <dc:creator>Alma Fernanda Vera Quea</dc:creator>
  <dc:description/>
  <dc:language>en-GB</dc:language>
  <cp:lastModifiedBy/>
  <dcterms:modified xsi:type="dcterms:W3CDTF">2024-05-27T16:47:15Z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