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rFonts w:ascii="Arial" w:hAnsi="Arial" w:cs="Arial" w:asciiTheme="majorHAnsi" w:cstheme="majorHAnsi" w:hAnsiTheme="majorHAnsi"/>
          <w:b/>
          <w:bCs/>
          <w:sz w:val="24"/>
          <w:szCs w:val="24"/>
          <w:u w:val="single"/>
        </w:rPr>
      </w:pPr>
      <w:r>
        <w:rPr>
          <w:rFonts w:cs="Arial" w:cstheme="majorHAnsi"/>
          <w:b/>
          <w:bCs/>
          <w:sz w:val="24"/>
          <w:szCs w:val="24"/>
          <w:u w:val="single"/>
        </w:rPr>
        <w:t>METADATOS</w:t>
      </w:r>
    </w:p>
    <w:p>
      <w:pPr>
        <w:pStyle w:val="Normal"/>
        <w:jc w:val="both"/>
        <w:rPr>
          <w:lang w:val="es-PE" w:eastAsia="en-US" w:bidi="ar-SA"/>
        </w:rPr>
      </w:pPr>
      <w:r>
        <w:rPr>
          <w:rFonts w:cs="Arial" w:cstheme="majorHAnsi"/>
          <w:lang w:val="es-PE" w:eastAsia="en-US" w:bidi="ar-SA"/>
        </w:rPr>
        <w:t xml:space="preserve">Metadatos del dataset:  </w:t>
      </w:r>
      <w:r>
        <w:rPr>
          <w:rFonts w:cs="Arial"/>
          <w:b w:val="false"/>
          <w:i w:val="false"/>
          <w:strike w:val="false"/>
          <w:dstrike w:val="false"/>
          <w:outline w:val="false"/>
          <w:shadow w:val="false"/>
          <w:color w:val="000000"/>
          <w:sz w:val="22"/>
          <w:u w:val="none"/>
          <w:em w:val="none"/>
          <w:lang w:val="es-PE" w:eastAsia="en-US" w:bidi="ar-SA"/>
        </w:rPr>
        <w:t xml:space="preserve"> </w:t>
      </w:r>
      <w:r>
        <w:rPr>
          <w:rFonts w:cs="Arial" w:cstheme="majorHAnsi"/>
          <w:b w:val="false"/>
          <w:i w:val="false"/>
          <w:strike w:val="false"/>
          <w:dstrike w:val="false"/>
          <w:outline w:val="false"/>
          <w:shadow w:val="false"/>
          <w:color w:val="000000"/>
          <w:sz w:val="22"/>
          <w:u w:val="none"/>
          <w:em w:val="none"/>
          <w:lang w:val="es-PE" w:eastAsia="en-US" w:bidi="ar-SA"/>
        </w:rPr>
        <w:t xml:space="preserve"> Registro de reconocimiento nacional de participantes en el Programa de Guardaparques Voluntarios y Comunales de las Áreas Naturales Protegidas – [Servicio Nacional de Áreas Naturales Protegidas por el Estado – SERNANP]</w:t>
      </w:r>
    </w:p>
    <w:p>
      <w:pPr>
        <w:pStyle w:val="Normal"/>
        <w:rPr>
          <w:rFonts w:ascii="Arial" w:hAnsi="Arial" w:cs="Arial" w:asciiTheme="majorHAnsi" w:cstheme="majorHAnsi" w:hAnsiTheme="majorHAnsi"/>
          <w:vanish/>
        </w:rPr>
      </w:pPr>
      <w:r>
        <w:rPr>
          <w:rFonts w:cs="Arial" w:cstheme="majorHAnsi"/>
          <w:vanish/>
        </w:rPr>
      </w:r>
    </w:p>
    <w:tbl>
      <w:tblPr>
        <w:tblStyle w:val="Tablaconcuadrcula"/>
        <w:tblW w:w="10456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971"/>
        <w:gridCol w:w="7484"/>
      </w:tblGrid>
      <w:tr>
        <w:trPr/>
        <w:tc>
          <w:tcPr>
            <w:tcW w:w="2971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sz w:val="22"/>
                <w:lang w:val="es-PE" w:eastAsia="en-US" w:bidi="ar-SA"/>
              </w:rPr>
            </w:pPr>
            <w:r>
              <w:rPr>
                <w:rFonts w:eastAsia="Arial" w:cs="Arial" w:cstheme="majorHAnsi"/>
                <w:b/>
                <w:bCs/>
                <w:color w:themeColor="text1" w:val="000000"/>
                <w:kern w:val="2"/>
                <w:sz w:val="20"/>
                <w:szCs w:val="20"/>
                <w:lang w:val="es-PE" w:eastAsia="en-US" w:bidi="ar-SA"/>
              </w:rPr>
              <w:t>Título</w:t>
            </w:r>
          </w:p>
        </w:tc>
        <w:tc>
          <w:tcPr>
            <w:tcW w:w="7484" w:type="dxa"/>
            <w:tcBorders/>
          </w:tcPr>
          <w:p>
            <w:pPr>
              <w:pStyle w:val="Normal"/>
              <w:spacing w:before="0" w:after="160"/>
              <w:jc w:val="left"/>
              <w:rPr>
                <w:lang w:val="es-PE" w:eastAsia="en-US" w:bidi="ar-SA"/>
              </w:rPr>
            </w:pPr>
            <w:r>
              <w:rPr>
                <w:rFonts w:cs="Arial" w:cstheme="majorHAnsi"/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u w:val="none"/>
                <w:em w:val="none"/>
                <w:lang w:val="es-PE" w:eastAsia="en-US" w:bidi="ar-SA"/>
              </w:rPr>
              <w:t>Registro de reconocimiento nacional de participantes en el Programa de Guardaparques Voluntarios y Comunales de las Áreas Naturales Protegidas – [Servicio Nacional de Áreas Naturales Protegidas por el Estado – SERNANP]</w:t>
            </w:r>
          </w:p>
        </w:tc>
      </w:tr>
      <w:tr>
        <w:trPr/>
        <w:tc>
          <w:tcPr>
            <w:tcW w:w="2971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Arial" w:hAnsi="Arial" w:cs="Arial" w:asciiTheme="majorHAnsi" w:cstheme="majorHAnsi" w:hAnsiTheme="majorHAnsi"/>
              </w:rPr>
            </w:pPr>
            <w:r>
              <w:rPr>
                <w:rFonts w:eastAsia="Arial" w:cs="Arial" w:cstheme="majorHAnsi"/>
                <w:b/>
                <w:bCs/>
                <w:color w:themeColor="text1" w:val="000000"/>
                <w:kern w:val="2"/>
                <w:sz w:val="20"/>
                <w:szCs w:val="20"/>
                <w:lang w:val="es-MX" w:eastAsia="en-US" w:bidi="ar-SA"/>
              </w:rPr>
              <w:t>Título URL Descripción</w:t>
            </w:r>
          </w:p>
        </w:tc>
        <w:tc>
          <w:tcPr>
            <w:tcW w:w="7484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Arial" w:hAnsi="Arial" w:cs="Arial" w:asciiTheme="majorHAnsi" w:cstheme="majorHAnsi" w:hAnsiTheme="majorHAnsi"/>
              </w:rPr>
            </w:pPr>
            <w:r>
              <w:rPr>
                <w:rFonts w:cs="Arial" w:cstheme="majorHAnsi"/>
                <w:sz w:val="22"/>
              </w:rPr>
              <w:t>https://www.datosabiertos.gob.pe/dataset/registro-de-reconocimiento-nacional-de-participantes-en-el-programa-de-guardaparques</w:t>
            </w:r>
          </w:p>
        </w:tc>
      </w:tr>
      <w:tr>
        <w:trPr/>
        <w:tc>
          <w:tcPr>
            <w:tcW w:w="2971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cs="Arial" w:cstheme="majorHAnsi"/>
                <w:sz w:val="22"/>
                <w:highlight w:val="none"/>
                <w:shd w:fill="auto" w:val="clear"/>
              </w:rPr>
            </w:pPr>
            <w:r>
              <w:rPr>
                <w:rFonts w:eastAsia="Arial" w:cs="Arial" w:cstheme="majorHAnsi"/>
                <w:b/>
                <w:bCs/>
                <w:color w:themeColor="text1" w:val="000000"/>
                <w:kern w:val="2"/>
                <w:sz w:val="20"/>
                <w:szCs w:val="20"/>
                <w:shd w:fill="auto" w:val="clear"/>
                <w:lang w:val="es-MX" w:eastAsia="en-US" w:bidi="ar-SA"/>
              </w:rPr>
              <w:t>Descripción</w:t>
            </w:r>
          </w:p>
        </w:tc>
        <w:tc>
          <w:tcPr>
            <w:tcW w:w="7484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sz w:val="22"/>
                <w:lang w:val="es-PE" w:eastAsia="en-US" w:bidi="ar-SA"/>
              </w:rPr>
            </w:pPr>
            <w:r>
              <w:rPr>
                <w:rFonts w:cs="Arial" w:cstheme="majorHAnsi"/>
                <w:sz w:val="22"/>
                <w:lang w:val="es-PE" w:eastAsia="en-US" w:bidi="ar-SA"/>
              </w:rPr>
              <w:t>Cada registro muestra información básica de los guardaparques voluntarios y comunales en las diferentes Áreas Naturales Protegidas a nivel Nacional.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sz w:val="22"/>
                <w:lang w:val="es-PE" w:eastAsia="en-US" w:bidi="ar-SA"/>
              </w:rPr>
            </w:pPr>
            <w:r>
              <w:rPr>
                <w:sz w:val="22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sz w:val="22"/>
                <w:lang w:val="es-PE" w:eastAsia="en-US" w:bidi="ar-SA"/>
              </w:rPr>
            </w:pPr>
            <w:r>
              <w:rPr>
                <w:rFonts w:cs="Arial" w:cstheme="majorHAnsi"/>
                <w:sz w:val="22"/>
                <w:lang w:val="es-PE" w:eastAsia="en-US" w:bidi="ar-SA"/>
              </w:rPr>
              <w:t>El programa de Guardaparques Voluntarios es un mecanismo de gestión participativa, que involucra a la sociedad civil con la finalidad de fortalecer las capacidades de gestión de las ANP, con el aporte de actores comunales,  jóvenes voluntarios universitarios y técnicos, entrenándolos en las diversas disciplinas afines a la conservación, como base y aporte en su proceso de formación profesional.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sz w:val="22"/>
                <w:lang w:val="es-PE" w:eastAsia="en-US" w:bidi="ar-SA"/>
              </w:rPr>
            </w:pPr>
            <w:r>
              <w:rPr>
                <w:rFonts w:cs="Arial" w:cstheme="majorHAnsi"/>
                <w:sz w:val="22"/>
                <w:lang w:val="es-PE" w:eastAsia="en-US" w:bidi="ar-SA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sz w:val="22"/>
                <w:lang w:val="es-PE" w:eastAsia="en-US" w:bidi="ar-SA"/>
              </w:rPr>
            </w:pPr>
            <w:r>
              <w:rPr>
                <w:rFonts w:cs="Arial" w:cstheme="majorHAnsi"/>
                <w:sz w:val="22"/>
                <w:lang w:val="es-PE" w:eastAsia="en-US" w:bidi="ar-SA"/>
              </w:rPr>
              <w:t>Recopila información del periodo de guardaparque voluntario y comunal.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Arial" w:hAnsi="Arial" w:cs="Arial" w:asciiTheme="majorHAnsi" w:cstheme="majorHAnsi" w:hAnsiTheme="majorHAnsi"/>
                <w:sz w:val="22"/>
                <w:highlight w:val="none"/>
                <w:shd w:fill="auto" w:val="clear"/>
                <w:lang w:val="es-PE" w:eastAsia="en-US" w:bidi="ar-SA"/>
              </w:rPr>
            </w:pPr>
            <w:r>
              <w:rPr>
                <w:rFonts w:cs="Arial" w:cstheme="majorHAnsi"/>
                <w:sz w:val="22"/>
                <w:shd w:fill="auto" w:val="clear"/>
                <w:lang w:val="es-PE" w:eastAsia="en-US" w:bidi="ar-SA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sz w:val="22"/>
                <w:lang w:val="es-PE" w:eastAsia="en-US" w:bidi="ar-SA"/>
              </w:rPr>
            </w:pPr>
            <w:r>
              <w:rPr>
                <w:rFonts w:cs="Arial" w:cstheme="majorHAnsi"/>
                <w:sz w:val="22"/>
                <w:shd w:fill="auto" w:val="clear"/>
                <w:lang w:val="es-PE" w:eastAsia="en-US" w:bidi="ar-SA"/>
              </w:rPr>
              <w:t>SENANP tiene en total 77 Áreas Naturales Protegidas de administración Nacional de los cuales 41 entre 2022 y 2024 participan en el Programa de Guardaparques Voluntarios y Comunales.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Arial" w:hAnsi="Arial" w:cs="Arial" w:asciiTheme="majorHAnsi" w:cstheme="majorHAnsi" w:hAnsiTheme="majorHAnsi"/>
                <w:sz w:val="22"/>
                <w:highlight w:val="none"/>
                <w:shd w:fill="auto" w:val="clear"/>
                <w:lang w:val="es-PE" w:eastAsia="en-US" w:bidi="ar-SA"/>
              </w:rPr>
            </w:pPr>
            <w:r>
              <w:rPr>
                <w:rFonts w:cs="Arial" w:cstheme="majorHAnsi"/>
                <w:sz w:val="22"/>
                <w:shd w:fill="auto" w:val="clear"/>
                <w:lang w:val="es-PE" w:eastAsia="en-US" w:bidi="ar-SA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sz w:val="22"/>
                <w:lang w:val="es-PE" w:eastAsia="en-US" w:bidi="ar-SA"/>
              </w:rPr>
            </w:pPr>
            <w:r>
              <w:rPr>
                <w:rFonts w:cs="Arial" w:cstheme="majorHAnsi"/>
                <w:sz w:val="22"/>
                <w:lang w:val="es-PE" w:eastAsia="en-US" w:bidi="ar-SA"/>
              </w:rPr>
              <w:t>La dataset está caracterizado por: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Arial" w:hAnsi="Arial" w:cs="Arial" w:asciiTheme="majorHAnsi" w:cstheme="majorHAnsi" w:hAnsiTheme="majorHAnsi"/>
                <w:sz w:val="22"/>
                <w:lang w:val="es-PE" w:eastAsia="en-US" w:bidi="ar-SA"/>
              </w:rPr>
            </w:pPr>
            <w:r>
              <w:rPr>
                <w:rFonts w:cs="Arial" w:cstheme="majorHAnsi"/>
                <w:sz w:val="22"/>
                <w:lang w:val="es-PE" w:eastAsia="en-US" w:bidi="ar-SA"/>
              </w:rPr>
            </w:r>
          </w:p>
          <w:p>
            <w:pPr>
              <w:pStyle w:val="Normal"/>
              <w:widowControl/>
              <w:numPr>
                <w:ilvl w:val="0"/>
                <w:numId w:val="1"/>
              </w:numPr>
              <w:suppressAutoHyphens w:val="true"/>
              <w:spacing w:lineRule="auto" w:line="240" w:before="0" w:after="0"/>
              <w:jc w:val="left"/>
              <w:rPr>
                <w:sz w:val="22"/>
                <w:lang w:val="es-PE" w:eastAsia="en-US" w:bidi="ar-SA"/>
              </w:rPr>
            </w:pPr>
            <w:r>
              <w:rPr>
                <w:rFonts w:cs="Arial" w:cstheme="majorHAnsi"/>
                <w:sz w:val="22"/>
                <w:lang w:val="es-PE" w:eastAsia="en-US" w:bidi="ar-SA"/>
              </w:rPr>
              <w:t>Datos de Área Natural Protegida: Nombre, Categoría, Departamento, Provincia, Distrito y Ubigeo.</w:t>
            </w:r>
          </w:p>
          <w:p>
            <w:pPr>
              <w:pStyle w:val="Normal"/>
              <w:widowControl/>
              <w:numPr>
                <w:ilvl w:val="0"/>
                <w:numId w:val="1"/>
              </w:numPr>
              <w:suppressAutoHyphens w:val="true"/>
              <w:spacing w:lineRule="auto" w:line="240" w:before="0" w:after="0"/>
              <w:jc w:val="left"/>
              <w:rPr>
                <w:sz w:val="22"/>
                <w:lang w:val="es-PE" w:eastAsia="en-US" w:bidi="ar-SA"/>
              </w:rPr>
            </w:pPr>
            <w:r>
              <w:rPr>
                <w:rFonts w:cs="Arial" w:cstheme="majorHAnsi"/>
                <w:sz w:val="22"/>
                <w:lang w:val="es-PE" w:eastAsia="en-US" w:bidi="ar-SA"/>
              </w:rPr>
              <w:t>Datos del voluntario: Año de participación, identificación anonimizada, procedencia, sexo.</w:t>
            </w:r>
          </w:p>
          <w:p>
            <w:pPr>
              <w:pStyle w:val="Normal"/>
              <w:widowControl/>
              <w:numPr>
                <w:ilvl w:val="0"/>
                <w:numId w:val="1"/>
              </w:numPr>
              <w:suppressAutoHyphens w:val="true"/>
              <w:spacing w:lineRule="auto" w:line="240" w:before="0" w:after="0"/>
              <w:jc w:val="left"/>
              <w:rPr>
                <w:sz w:val="22"/>
                <w:lang w:val="es-PE" w:eastAsia="en-US" w:bidi="ar-SA"/>
              </w:rPr>
            </w:pPr>
            <w:r>
              <w:rPr>
                <w:rFonts w:cs="Arial" w:cstheme="majorHAnsi"/>
                <w:sz w:val="22"/>
                <w:lang w:val="es-PE" w:eastAsia="en-US" w:bidi="ar-SA"/>
              </w:rPr>
              <w:t xml:space="preserve">Periodo del programa de guardaparque voluntario </w:t>
            </w:r>
            <w:r>
              <w:rPr>
                <w:rFonts w:cs="Arial" w:cstheme="majorHAnsi"/>
                <w:sz w:val="22"/>
                <w:lang w:val="en-GB" w:eastAsia="en-US" w:bidi="ar-SA"/>
              </w:rPr>
              <w:t>y comunales</w:t>
            </w:r>
            <w:r>
              <w:rPr>
                <w:rFonts w:cs="Arial" w:cstheme="majorHAnsi"/>
                <w:sz w:val="22"/>
                <w:lang w:val="es-PE" w:eastAsia="en-US" w:bidi="ar-SA"/>
              </w:rPr>
              <w:t>: Fecha de inicio, fecha de fin, periodo de servicio.</w:t>
            </w:r>
          </w:p>
          <w:p>
            <w:pPr>
              <w:pStyle w:val="Normal"/>
              <w:widowControl/>
              <w:numPr>
                <w:ilvl w:val="0"/>
                <w:numId w:val="1"/>
              </w:numPr>
              <w:suppressAutoHyphens w:val="true"/>
              <w:spacing w:lineRule="auto" w:line="240" w:before="0" w:after="0"/>
              <w:jc w:val="left"/>
              <w:rPr>
                <w:sz w:val="22"/>
                <w:lang w:val="es-PE" w:eastAsia="en-US" w:bidi="ar-SA"/>
              </w:rPr>
            </w:pPr>
            <w:r>
              <w:rPr>
                <w:sz w:val="22"/>
                <w:lang w:val="es-PE" w:eastAsia="en-US" w:bidi="ar-SA"/>
              </w:rPr>
              <w:t>Reconocimiento: Resolución Jefatural y fecha de emisión</w:t>
            </w:r>
          </w:p>
          <w:p>
            <w:pPr>
              <w:pStyle w:val="Normal"/>
              <w:widowControl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hanging="0" w:left="720"/>
              <w:jc w:val="left"/>
              <w:rPr>
                <w:rFonts w:ascii="Arial" w:hAnsi="Arial" w:cs="Arial" w:asciiTheme="majorHAnsi" w:cstheme="majorHAnsi" w:hAnsiTheme="majorHAnsi"/>
                <w:sz w:val="22"/>
                <w:lang w:val="es-PE" w:eastAsia="en-US" w:bidi="ar-SA"/>
              </w:rPr>
            </w:pPr>
            <w:r>
              <w:rPr>
                <w:rFonts w:cs="Arial" w:cstheme="majorHAnsi"/>
                <w:sz w:val="22"/>
                <w:lang w:val="es-PE" w:eastAsia="en-US" w:bidi="ar-SA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Arial" w:hAnsi="Arial" w:cs="Arial" w:asciiTheme="majorHAnsi" w:cstheme="majorHAnsi" w:hAnsiTheme="majorHAnsi"/>
                <w:sz w:val="22"/>
                <w:lang w:val="es-PE" w:eastAsia="en-US" w:bidi="ar-SA"/>
              </w:rPr>
            </w:pPr>
            <w:r>
              <w:rPr>
                <w:rFonts w:cs="Arial" w:cstheme="majorHAnsi"/>
                <w:sz w:val="22"/>
                <w:lang w:val="es-PE" w:eastAsia="en-US" w:bidi="ar-SA"/>
              </w:rPr>
            </w:r>
          </w:p>
        </w:tc>
      </w:tr>
      <w:tr>
        <w:trPr/>
        <w:tc>
          <w:tcPr>
            <w:tcW w:w="2971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Arial" w:hAnsi="Arial" w:cs="Arial" w:asciiTheme="majorHAnsi" w:cstheme="majorHAnsi" w:hAnsiTheme="majorHAnsi"/>
              </w:rPr>
            </w:pPr>
            <w:r>
              <w:rPr>
                <w:rFonts w:eastAsia="Arial" w:cs="Arial" w:cstheme="majorHAnsi"/>
                <w:b/>
                <w:bCs/>
                <w:color w:themeColor="text1" w:val="000000"/>
                <w:kern w:val="2"/>
                <w:sz w:val="20"/>
                <w:szCs w:val="20"/>
                <w:lang w:val="es-MX" w:eastAsia="en-US" w:bidi="ar-SA"/>
              </w:rPr>
              <w:t>Entidad</w:t>
            </w:r>
          </w:p>
        </w:tc>
        <w:tc>
          <w:tcPr>
            <w:tcW w:w="748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cs="Arial" w:asciiTheme="majorHAnsi" w:cstheme="majorHAnsi" w:hAnsiTheme="majorHAnsi"/>
              </w:rPr>
            </w:pPr>
            <w:r>
              <w:rPr>
                <w:rFonts w:eastAsia="Arial" w:cs="Arial" w:cstheme="majorHAnsi"/>
                <w:kern w:val="0"/>
                <w:sz w:val="22"/>
                <w:szCs w:val="22"/>
                <w:lang w:val="es-PE" w:eastAsia="en-US" w:bidi="ar-SA"/>
              </w:rPr>
              <w:t>Servicio Nacional de Áreas Naturales Protegidas por el Estado – [SERNANP]</w:t>
            </w:r>
          </w:p>
        </w:tc>
      </w:tr>
      <w:tr>
        <w:trPr/>
        <w:tc>
          <w:tcPr>
            <w:tcW w:w="2971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Arial" w:hAnsi="Arial" w:cs="Arial" w:asciiTheme="majorHAnsi" w:cstheme="majorHAnsi" w:hAnsiTheme="majorHAnsi"/>
              </w:rPr>
            </w:pPr>
            <w:r>
              <w:rPr>
                <w:rFonts w:eastAsia="Arial" w:cs="Arial" w:cstheme="majorHAnsi"/>
                <w:b/>
                <w:bCs/>
                <w:color w:themeColor="text1" w:val="000000"/>
                <w:kern w:val="2"/>
                <w:sz w:val="20"/>
                <w:szCs w:val="20"/>
                <w:lang w:val="es-MX" w:eastAsia="en-US" w:bidi="ar-SA"/>
              </w:rPr>
              <w:t>Fuente</w:t>
            </w:r>
          </w:p>
        </w:tc>
        <w:tc>
          <w:tcPr>
            <w:tcW w:w="7484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Arial" w:hAnsi="Arial" w:cs="Arial" w:asciiTheme="majorHAnsi" w:cstheme="majorHAnsi" w:hAnsiTheme="majorHAnsi"/>
              </w:rPr>
            </w:pPr>
            <w:r>
              <w:rPr>
                <w:rFonts w:eastAsia="Arial" w:cs="Arial" w:cstheme="majorHAnsi"/>
                <w:kern w:val="0"/>
                <w:sz w:val="22"/>
                <w:szCs w:val="22"/>
                <w:lang w:val="es-PE" w:eastAsia="en-US" w:bidi="ar-SA"/>
              </w:rPr>
              <w:t xml:space="preserve">Unidad Operativa Funcional de Gestión de Gestión Participativa </w:t>
            </w:r>
          </w:p>
        </w:tc>
      </w:tr>
      <w:tr>
        <w:trPr/>
        <w:tc>
          <w:tcPr>
            <w:tcW w:w="2971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Arial" w:hAnsi="Arial" w:cs="Arial" w:asciiTheme="majorHAnsi" w:cstheme="majorHAnsi" w:hAnsiTheme="majorHAnsi"/>
              </w:rPr>
            </w:pPr>
            <w:r>
              <w:rPr>
                <w:rFonts w:eastAsia="Arial" w:cs="Arial" w:cstheme="majorHAnsi"/>
                <w:b/>
                <w:bCs/>
                <w:color w:themeColor="text1" w:val="000000"/>
                <w:kern w:val="2"/>
                <w:sz w:val="20"/>
                <w:szCs w:val="20"/>
                <w:lang w:val="es-PE" w:eastAsia="en-US" w:bidi="ar-SA"/>
              </w:rPr>
              <w:t>Etiquetas</w:t>
            </w:r>
          </w:p>
        </w:tc>
        <w:tc>
          <w:tcPr>
            <w:tcW w:w="7484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Arial" w:hAnsi="Arial" w:cs="Arial" w:asciiTheme="majorHAnsi" w:cstheme="majorHAnsi" w:hAnsiTheme="majorHAnsi"/>
              </w:rPr>
            </w:pPr>
            <w:r>
              <w:rPr>
                <w:rFonts w:cs="Arial" w:cstheme="majorHAnsi"/>
                <w:sz w:val="22"/>
              </w:rPr>
              <w:t>Área Natural Protegida, Voluntarios</w:t>
            </w:r>
          </w:p>
        </w:tc>
      </w:tr>
      <w:tr>
        <w:trPr/>
        <w:tc>
          <w:tcPr>
            <w:tcW w:w="2971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Arial" w:hAnsi="Arial" w:cs="Arial" w:asciiTheme="majorHAnsi" w:cstheme="majorHAnsi" w:hAnsiTheme="majorHAnsi"/>
              </w:rPr>
            </w:pPr>
            <w:r>
              <w:rPr>
                <w:rFonts w:eastAsia="Arial" w:cs="Arial" w:cstheme="majorHAnsi"/>
                <w:b/>
                <w:bCs/>
                <w:color w:themeColor="text1" w:val="000000"/>
                <w:kern w:val="2"/>
                <w:sz w:val="20"/>
                <w:szCs w:val="20"/>
                <w:lang w:val="es-MX" w:eastAsia="en-US" w:bidi="ar-SA"/>
              </w:rPr>
              <w:t>Fecha de creación</w:t>
            </w:r>
          </w:p>
        </w:tc>
        <w:tc>
          <w:tcPr>
            <w:tcW w:w="7484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Arial" w:hAnsi="Arial" w:cs="Arial" w:asciiTheme="majorHAnsi" w:cstheme="majorHAnsi" w:hAnsiTheme="majorHAnsi"/>
              </w:rPr>
            </w:pPr>
            <w:r>
              <w:rPr>
                <w:rFonts w:eastAsia="Arial" w:cs="Arial" w:cstheme="majorHAnsi"/>
                <w:color w:themeColor="text1" w:val="000000"/>
                <w:kern w:val="2"/>
                <w:sz w:val="22"/>
                <w:szCs w:val="22"/>
                <w:lang w:val="es-PE" w:eastAsia="en-US" w:bidi="ar-SA"/>
              </w:rPr>
              <w:t>2024-06-1</w:t>
            </w:r>
            <w:r>
              <w:rPr>
                <w:rFonts w:eastAsia="Arial" w:cs="Arial" w:cstheme="majorHAnsi"/>
                <w:color w:themeColor="text1" w:val="000000"/>
                <w:kern w:val="2"/>
                <w:sz w:val="22"/>
                <w:szCs w:val="22"/>
                <w:lang w:val="en-GB" w:eastAsia="en-US" w:bidi="ar-SA"/>
              </w:rPr>
              <w:t>8</w:t>
            </w:r>
          </w:p>
        </w:tc>
      </w:tr>
      <w:tr>
        <w:trPr/>
        <w:tc>
          <w:tcPr>
            <w:tcW w:w="2971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Arial" w:hAnsi="Arial" w:cs="Arial" w:asciiTheme="majorHAnsi" w:cstheme="majorHAnsi" w:hAnsiTheme="majorHAnsi"/>
              </w:rPr>
            </w:pPr>
            <w:r>
              <w:rPr>
                <w:rFonts w:eastAsia="Arial" w:cs="Arial" w:cstheme="majorHAnsi"/>
                <w:b/>
                <w:bCs/>
                <w:color w:themeColor="text1" w:val="000000"/>
                <w:kern w:val="2"/>
                <w:sz w:val="20"/>
                <w:szCs w:val="20"/>
                <w:lang w:val="es-MX" w:eastAsia="en-US" w:bidi="ar-SA"/>
              </w:rPr>
              <w:t>Frecuencia de actualización</w:t>
            </w:r>
          </w:p>
        </w:tc>
        <w:tc>
          <w:tcPr>
            <w:tcW w:w="7484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Arial" w:hAnsi="Arial" w:cs="Arial" w:asciiTheme="majorHAnsi" w:cstheme="majorHAnsi" w:hAnsiTheme="majorHAnsi"/>
              </w:rPr>
            </w:pPr>
            <w:r>
              <w:rPr>
                <w:rFonts w:cs="Arial" w:cstheme="majorHAnsi"/>
                <w:sz w:val="22"/>
              </w:rPr>
              <w:t>Trimestral</w:t>
            </w:r>
          </w:p>
        </w:tc>
      </w:tr>
      <w:tr>
        <w:trPr/>
        <w:tc>
          <w:tcPr>
            <w:tcW w:w="2971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Arial" w:hAnsi="Arial" w:cs="Arial" w:asciiTheme="majorHAnsi" w:cstheme="majorHAnsi" w:hAnsiTheme="majorHAnsi"/>
              </w:rPr>
            </w:pPr>
            <w:r>
              <w:rPr>
                <w:rFonts w:eastAsia="Arial" w:cs="Arial" w:cstheme="majorHAnsi"/>
                <w:b/>
                <w:bCs/>
                <w:color w:themeColor="text1" w:val="000000"/>
                <w:kern w:val="2"/>
                <w:sz w:val="20"/>
                <w:szCs w:val="20"/>
                <w:lang w:val="es-MX" w:eastAsia="en-US" w:bidi="ar-SA"/>
              </w:rPr>
              <w:t>Última actualización</w:t>
            </w:r>
          </w:p>
        </w:tc>
        <w:tc>
          <w:tcPr>
            <w:tcW w:w="7484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Arial" w:hAnsi="Arial" w:cs="Arial" w:asciiTheme="majorHAnsi" w:cstheme="majorHAnsi" w:hAnsiTheme="majorHAnsi"/>
              </w:rPr>
            </w:pPr>
            <w:r>
              <w:rPr>
                <w:rFonts w:eastAsia="Arial" w:cs="Arial" w:cstheme="majorHAnsi"/>
                <w:color w:themeColor="text1" w:val="000000"/>
                <w:kern w:val="2"/>
                <w:sz w:val="22"/>
                <w:szCs w:val="22"/>
                <w:lang w:val="es-PE" w:eastAsia="en-US" w:bidi="ar-SA"/>
              </w:rPr>
              <w:t>2024-06-1</w:t>
            </w:r>
            <w:r>
              <w:rPr>
                <w:rFonts w:eastAsia="Arial" w:cs="Arial" w:cstheme="majorHAnsi"/>
                <w:color w:themeColor="text1" w:val="000000"/>
                <w:kern w:val="2"/>
                <w:sz w:val="22"/>
                <w:szCs w:val="22"/>
                <w:lang w:val="en-GB" w:eastAsia="en-US" w:bidi="ar-SA"/>
              </w:rPr>
              <w:t>8</w:t>
            </w:r>
          </w:p>
        </w:tc>
      </w:tr>
      <w:tr>
        <w:trPr/>
        <w:tc>
          <w:tcPr>
            <w:tcW w:w="2971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Arial" w:hAnsi="Arial" w:cs="Arial" w:asciiTheme="majorHAnsi" w:cstheme="majorHAnsi" w:hAnsiTheme="majorHAnsi"/>
              </w:rPr>
            </w:pPr>
            <w:r>
              <w:rPr>
                <w:rFonts w:eastAsia="Arial" w:cs="Arial" w:cstheme="majorHAnsi"/>
                <w:b/>
                <w:bCs/>
                <w:color w:themeColor="text1" w:val="000000"/>
                <w:kern w:val="2"/>
                <w:sz w:val="20"/>
                <w:szCs w:val="20"/>
                <w:lang w:val="es-MX" w:eastAsia="en-US" w:bidi="ar-SA"/>
              </w:rPr>
              <w:t>Versión</w:t>
            </w:r>
          </w:p>
        </w:tc>
        <w:tc>
          <w:tcPr>
            <w:tcW w:w="7484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Arial" w:hAnsi="Arial" w:cs="Arial" w:asciiTheme="majorHAnsi" w:cstheme="majorHAnsi" w:hAnsiTheme="majorHAnsi"/>
                <w:lang w:val="en-GB"/>
              </w:rPr>
            </w:pPr>
            <w:r>
              <w:rPr>
                <w:rFonts w:cs="Arial" w:cstheme="majorHAnsi"/>
                <w:sz w:val="22"/>
                <w:lang w:val="en-GB"/>
              </w:rPr>
              <w:t>1.0</w:t>
            </w:r>
          </w:p>
        </w:tc>
      </w:tr>
      <w:tr>
        <w:trPr/>
        <w:tc>
          <w:tcPr>
            <w:tcW w:w="2971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Arial" w:hAnsi="Arial" w:cs="Arial" w:asciiTheme="majorHAnsi" w:cstheme="majorHAnsi" w:hAnsiTheme="majorHAnsi"/>
              </w:rPr>
            </w:pPr>
            <w:r>
              <w:rPr>
                <w:rFonts w:eastAsia="Arial" w:cs="Arial" w:cstheme="majorHAnsi"/>
                <w:b/>
                <w:bCs/>
                <w:color w:themeColor="text1" w:val="000000"/>
                <w:kern w:val="2"/>
                <w:sz w:val="20"/>
                <w:szCs w:val="20"/>
                <w:lang w:val="es-MX" w:eastAsia="en-US" w:bidi="ar-SA"/>
              </w:rPr>
              <w:t>Licencia</w:t>
            </w:r>
          </w:p>
        </w:tc>
        <w:tc>
          <w:tcPr>
            <w:tcW w:w="7484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Arial" w:hAnsi="Arial" w:cs="Arial" w:asciiTheme="majorHAnsi" w:cstheme="majorHAnsi" w:hAnsiTheme="majorHAnsi"/>
              </w:rPr>
            </w:pPr>
            <w:hyperlink r:id="rId2">
              <w:r>
                <w:rPr>
                  <w:rStyle w:val="Hyperlink"/>
                  <w:rFonts w:eastAsia="Arial" w:cs="Arial" w:cstheme="majorHAnsi"/>
                  <w:color w:val="0A77BD"/>
                  <w:kern w:val="2"/>
                  <w:sz w:val="22"/>
                  <w:szCs w:val="22"/>
                  <w:lang w:val="en-US" w:eastAsia="en-US" w:bidi="ar-SA"/>
                </w:rPr>
                <w:t>Open Data Commons Attribution License</w:t>
              </w:r>
            </w:hyperlink>
          </w:p>
        </w:tc>
      </w:tr>
      <w:tr>
        <w:trPr/>
        <w:tc>
          <w:tcPr>
            <w:tcW w:w="2971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Arial" w:hAnsi="Arial" w:cs="Arial" w:asciiTheme="majorHAnsi" w:cstheme="majorHAnsi" w:hAnsiTheme="majorHAnsi"/>
              </w:rPr>
            </w:pPr>
            <w:r>
              <w:rPr>
                <w:rFonts w:eastAsia="Arial" w:cs="Arial" w:cstheme="majorHAnsi"/>
                <w:b/>
                <w:bCs/>
                <w:color w:themeColor="text1" w:val="000000"/>
                <w:kern w:val="2"/>
                <w:sz w:val="20"/>
                <w:szCs w:val="20"/>
                <w:lang w:val="es-MX" w:eastAsia="en-US" w:bidi="ar-SA"/>
              </w:rPr>
              <w:t>Idioma</w:t>
            </w:r>
          </w:p>
        </w:tc>
        <w:tc>
          <w:tcPr>
            <w:tcW w:w="7484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Arial" w:hAnsi="Arial" w:cs="Arial" w:asciiTheme="majorHAnsi" w:cstheme="majorHAnsi" w:hAnsiTheme="majorHAnsi"/>
              </w:rPr>
            </w:pPr>
            <w:r>
              <w:rPr>
                <w:rFonts w:eastAsia="Arial" w:cs="Arial" w:cstheme="majorHAnsi"/>
                <w:color w:themeColor="text1" w:val="000000"/>
                <w:kern w:val="2"/>
                <w:sz w:val="22"/>
                <w:szCs w:val="22"/>
                <w:lang w:val="es-PE" w:eastAsia="en-US" w:bidi="ar-SA"/>
              </w:rPr>
              <w:t>Español</w:t>
            </w:r>
          </w:p>
        </w:tc>
      </w:tr>
      <w:tr>
        <w:trPr/>
        <w:tc>
          <w:tcPr>
            <w:tcW w:w="2971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Arial" w:hAnsi="Arial" w:cs="Arial" w:asciiTheme="majorHAnsi" w:cstheme="majorHAnsi" w:hAnsiTheme="majorHAnsi"/>
              </w:rPr>
            </w:pPr>
            <w:r>
              <w:rPr>
                <w:rFonts w:eastAsia="Arial" w:cs="Arial" w:cstheme="majorHAnsi"/>
                <w:b/>
                <w:bCs/>
                <w:color w:themeColor="text1" w:val="000000"/>
                <w:kern w:val="2"/>
                <w:sz w:val="20"/>
                <w:szCs w:val="20"/>
                <w:lang w:val="es-MX" w:eastAsia="en-US" w:bidi="ar-SA"/>
              </w:rPr>
              <w:t>Nivel de acceso público</w:t>
            </w:r>
          </w:p>
        </w:tc>
        <w:tc>
          <w:tcPr>
            <w:tcW w:w="7484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Arial" w:hAnsi="Arial" w:cs="Arial" w:asciiTheme="majorHAnsi" w:cstheme="majorHAnsi" w:hAnsiTheme="majorHAnsi"/>
              </w:rPr>
            </w:pPr>
            <w:r>
              <w:rPr>
                <w:rFonts w:eastAsia="Arial" w:cs="Arial" w:cstheme="majorHAnsi"/>
                <w:color w:themeColor="text1" w:val="000000"/>
                <w:kern w:val="2"/>
                <w:sz w:val="22"/>
                <w:szCs w:val="22"/>
                <w:lang w:val="es-PE" w:eastAsia="en-US" w:bidi="ar-SA"/>
              </w:rPr>
              <w:t>Público</w:t>
            </w:r>
          </w:p>
        </w:tc>
      </w:tr>
      <w:tr>
        <w:trPr/>
        <w:tc>
          <w:tcPr>
            <w:tcW w:w="2971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Arial" w:hAnsi="Arial" w:cs="Arial" w:asciiTheme="majorHAnsi" w:cstheme="majorHAnsi" w:hAnsiTheme="majorHAnsi"/>
              </w:rPr>
            </w:pPr>
            <w:r>
              <w:rPr>
                <w:rFonts w:eastAsia="Arial" w:cs="Arial" w:cstheme="majorHAnsi"/>
                <w:b/>
                <w:bCs/>
                <w:color w:themeColor="text1" w:val="000000"/>
                <w:kern w:val="2"/>
                <w:sz w:val="20"/>
                <w:szCs w:val="20"/>
                <w:lang w:val="es-MX" w:eastAsia="en-US" w:bidi="ar-SA"/>
              </w:rPr>
              <w:t>Tipo de recurso</w:t>
            </w:r>
          </w:p>
        </w:tc>
        <w:tc>
          <w:tcPr>
            <w:tcW w:w="7484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Arial" w:hAnsi="Arial" w:cs="Arial" w:asciiTheme="majorHAnsi" w:cstheme="majorHAnsi" w:hAnsiTheme="majorHAnsi"/>
              </w:rPr>
            </w:pPr>
            <w:r>
              <w:rPr>
                <w:rFonts w:eastAsia="Arial" w:cs="Arial" w:cstheme="majorHAnsi"/>
                <w:kern w:val="0"/>
                <w:sz w:val="22"/>
                <w:szCs w:val="22"/>
                <w:lang w:val="es-PE" w:eastAsia="en-US" w:bidi="ar-SA"/>
              </w:rPr>
              <w:t>Dataset</w:t>
            </w:r>
          </w:p>
        </w:tc>
      </w:tr>
      <w:tr>
        <w:trPr/>
        <w:tc>
          <w:tcPr>
            <w:tcW w:w="2971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Arial" w:hAnsi="Arial" w:cs="Arial" w:asciiTheme="majorHAnsi" w:cstheme="majorHAnsi" w:hAnsiTheme="majorHAnsi"/>
                <w:b/>
                <w:bCs/>
              </w:rPr>
            </w:pPr>
            <w:r>
              <w:rPr>
                <w:rFonts w:eastAsia="Arial" w:cs="Arial" w:cstheme="majorHAnsi"/>
                <w:b/>
                <w:bCs/>
                <w:kern w:val="0"/>
                <w:sz w:val="22"/>
                <w:szCs w:val="22"/>
                <w:lang w:val="es-PE" w:eastAsia="en-US" w:bidi="ar-SA"/>
              </w:rPr>
              <w:t>Formato</w:t>
            </w:r>
          </w:p>
        </w:tc>
        <w:tc>
          <w:tcPr>
            <w:tcW w:w="7484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Arial" w:hAnsi="Arial" w:cs="Arial" w:asciiTheme="majorHAnsi" w:cstheme="majorHAnsi" w:hAnsiTheme="majorHAnsi"/>
              </w:rPr>
            </w:pPr>
            <w:r>
              <w:rPr>
                <w:rFonts w:eastAsia="Arial" w:cs="Arial" w:cstheme="majorHAnsi"/>
                <w:kern w:val="0"/>
                <w:sz w:val="22"/>
                <w:szCs w:val="22"/>
                <w:lang w:val="es-PE" w:eastAsia="en-US" w:bidi="ar-SA"/>
              </w:rPr>
              <w:t>CSV</w:t>
            </w:r>
          </w:p>
        </w:tc>
      </w:tr>
      <w:tr>
        <w:trPr/>
        <w:tc>
          <w:tcPr>
            <w:tcW w:w="2971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sz w:val="22"/>
                <w:highlight w:val="none"/>
                <w:shd w:fill="auto" w:val="clear"/>
              </w:rPr>
            </w:pPr>
            <w:r>
              <w:rPr>
                <w:rFonts w:eastAsia="Arial" w:cs="Arial" w:cstheme="majorHAnsi"/>
                <w:b/>
                <w:bCs/>
                <w:color w:themeColor="text1" w:val="000000"/>
                <w:kern w:val="2"/>
                <w:sz w:val="20"/>
                <w:szCs w:val="20"/>
                <w:shd w:fill="auto" w:val="clear"/>
                <w:lang w:val="es-MX" w:eastAsia="en-US" w:bidi="ar-SA"/>
              </w:rPr>
              <w:t>Cobertura</w:t>
            </w:r>
          </w:p>
        </w:tc>
        <w:tc>
          <w:tcPr>
            <w:tcW w:w="7484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sz w:val="22"/>
                <w:highlight w:val="none"/>
                <w:shd w:fill="auto" w:val="clear"/>
              </w:rPr>
            </w:pPr>
            <w:r>
              <w:rPr>
                <w:rFonts w:cs="Arial" w:cstheme="majorHAnsi"/>
                <w:sz w:val="22"/>
                <w:shd w:fill="auto" w:val="clear"/>
                <w:lang w:val="en-GB"/>
              </w:rPr>
              <w:t>Perú, 2022 - 2024</w:t>
            </w:r>
          </w:p>
        </w:tc>
      </w:tr>
      <w:tr>
        <w:trPr>
          <w:trHeight w:val="297" w:hRule="atLeast"/>
        </w:trPr>
        <w:tc>
          <w:tcPr>
            <w:tcW w:w="2971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sz w:val="22"/>
                <w:highlight w:val="none"/>
                <w:shd w:fill="auto" w:val="clear"/>
              </w:rPr>
            </w:pPr>
            <w:r>
              <w:rPr>
                <w:rFonts w:eastAsia="Arial" w:cs="Arial" w:cstheme="majorHAnsi"/>
                <w:b/>
                <w:bCs/>
                <w:kern w:val="0"/>
                <w:sz w:val="22"/>
                <w:szCs w:val="22"/>
                <w:shd w:fill="auto" w:val="clear"/>
                <w:lang w:val="es-PE" w:eastAsia="en-US" w:bidi="ar-SA"/>
              </w:rPr>
              <w:t>Correo de contacto</w:t>
            </w:r>
          </w:p>
        </w:tc>
        <w:tc>
          <w:tcPr>
            <w:tcW w:w="7484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sz w:val="22"/>
                <w:highlight w:val="none"/>
                <w:shd w:fill="auto" w:val="clear"/>
              </w:rPr>
            </w:pPr>
            <w:r>
              <w:rPr>
                <w:rFonts w:cs="Arial" w:cstheme="majorHAnsi"/>
                <w:sz w:val="22"/>
                <w:shd w:fill="auto" w:val="clear"/>
              </w:rPr>
              <w:t>rloayzaf</w:t>
            </w:r>
            <w:r>
              <w:rPr>
                <w:rFonts w:cs="Arial" w:cstheme="majorHAnsi"/>
                <w:sz w:val="22"/>
                <w:shd w:fill="auto" w:val="clear"/>
                <w:lang w:val="en-GB"/>
              </w:rPr>
              <w:t>@sernanp.gob.pe</w:t>
            </w:r>
          </w:p>
        </w:tc>
      </w:tr>
    </w:tbl>
    <w:p>
      <w:pPr>
        <w:pStyle w:val="Normal"/>
        <w:spacing w:before="0" w:after="160"/>
        <w:rPr>
          <w:rFonts w:ascii="Arial" w:hAnsi="Arial" w:cs="Arial" w:asciiTheme="majorHAnsi" w:cstheme="majorHAnsi" w:hAnsiTheme="majorHAnsi"/>
        </w:rPr>
      </w:pPr>
      <w:r>
        <w:rPr>
          <w:rFonts w:cs="Arial" w:cstheme="majorHAnsi"/>
        </w:rPr>
      </w:r>
    </w:p>
    <w:sectPr>
      <w:type w:val="nextPage"/>
      <w:pgSz w:w="11906" w:h="16838"/>
      <w:pgMar w:left="720" w:right="720" w:gutter="0" w:header="0" w:top="720" w:footer="0" w:bottom="72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Arial">
    <w:charset w:val="00"/>
    <w:family w:val="roman"/>
    <w:pitch w:val="variable"/>
  </w:font>
  <w:font w:name="OpenSymbol">
    <w:altName w:val="Arial Unicode MS"/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OpenSymbol">
    <w:altName w:val="Arial Unicode MS"/>
    <w:charset w:val="01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doNotBreakWrappedTables/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Arial" w:hAnsi="Arial" w:eastAsia="Arial" w:cs="" w:asciiTheme="minorHAnsi" w:cstheme="minorBidi" w:eastAsiaTheme="minorHAnsi" w:hAnsiTheme="minorHAnsi"/>
        <w:sz w:val="22"/>
        <w:szCs w:val="22"/>
        <w:lang w:val="es-PE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da6578"/>
    <w:pPr>
      <w:widowControl/>
      <w:suppressAutoHyphens w:val="true"/>
      <w:bidi w:val="0"/>
      <w:spacing w:lineRule="auto" w:line="259" w:before="0" w:after="160"/>
      <w:jc w:val="left"/>
    </w:pPr>
    <w:rPr>
      <w:rFonts w:ascii="Arial" w:hAnsi="Arial" w:eastAsia="Arial" w:cs="" w:asciiTheme="minorHAnsi" w:cstheme="minorBidi" w:eastAsiaTheme="minorHAnsi" w:hAnsiTheme="minorHAnsi"/>
      <w:color w:val="auto"/>
      <w:kern w:val="0"/>
      <w:sz w:val="22"/>
      <w:szCs w:val="22"/>
      <w:lang w:val="es-PE" w:eastAsia="en-US" w:bidi="ar-SA"/>
    </w:rPr>
  </w:style>
  <w:style w:type="character" w:styleId="DefaultParagraphFont" w:default="1">
    <w:name w:val="Default Paragraph Font"/>
    <w:uiPriority w:val="1"/>
    <w:unhideWhenUsed/>
    <w:qFormat/>
    <w:rPr/>
  </w:style>
  <w:style w:type="character" w:styleId="Hyperlink">
    <w:name w:val="Hyperlink"/>
    <w:basedOn w:val="DefaultParagraphFont"/>
    <w:uiPriority w:val="99"/>
    <w:unhideWhenUsed/>
    <w:rsid w:val="009f0ca5"/>
    <w:rPr>
      <w:color w:themeColor="hyperlink" w:val="0563C1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qFormat/>
    <w:rsid w:val="009f0ca5"/>
    <w:rPr>
      <w:color w:val="605E5C"/>
      <w:shd w:fill="E1DFDD" w:val="clear"/>
    </w:rPr>
  </w:style>
  <w:style w:type="character" w:styleId="Bullets">
    <w:name w:val="Bullets"/>
    <w:qFormat/>
    <w:rPr>
      <w:rFonts w:ascii="OpenSymbol" w:hAnsi="OpenSymbol" w:eastAsia="OpenSymbol" w:cs="OpenSymbol"/>
    </w:rPr>
  </w:style>
  <w:style w:type="character" w:styleId="FollowedHyperlink">
    <w:name w:val="FollowedHyperlink"/>
    <w:rPr>
      <w:color w:val="800000"/>
      <w:u w:val="single"/>
    </w:rPr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  <w:style w:type="paragraph" w:styleId="NormalWeb">
    <w:name w:val="Normal (Web)"/>
    <w:basedOn w:val="Normal"/>
    <w:uiPriority w:val="99"/>
    <w:unhideWhenUsed/>
    <w:qFormat/>
    <w:rsid w:val="009f0ca5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es-PE"/>
    </w:rPr>
  </w:style>
  <w:style w:type="paragraph" w:styleId="ListParagraph">
    <w:name w:val="List Paragraph"/>
    <w:basedOn w:val="Normal"/>
    <w:uiPriority w:val="34"/>
    <w:qFormat/>
    <w:rsid w:val="009f0ca5"/>
    <w:pPr>
      <w:spacing w:lineRule="auto" w:line="240" w:before="0" w:after="0"/>
      <w:ind w:left="720"/>
      <w:contextualSpacing/>
    </w:pPr>
    <w:rPr>
      <w:rFonts w:ascii="Times New Roman" w:hAnsi="Times New Roman" w:eastAsia="Times New Roman" w:cs="Times New Roman"/>
      <w:sz w:val="24"/>
      <w:szCs w:val="24"/>
      <w:lang w:eastAsia="es-PE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a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opendefinition.org/licenses/odc-by/" TargetMode="Externa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Tema de Offic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 pitchFamily="0" charset="1"/>
        <a:ea typeface=""/>
        <a:cs typeface=""/>
      </a:majorFont>
      <a:minorFont>
        <a:latin typeface="Arial" panose="020B060402020202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923</TotalTime>
  <Application>LibreOffice/7.6.4.1$Windows_X86_64 LibreOffice_project/e19e193f88cd6c0525a17fb7a176ed8e6a3e2aa1</Application>
  <AppVersion>15.0000</AppVersion>
  <Pages>1</Pages>
  <Words>305</Words>
  <Characters>2038</Characters>
  <CharactersWithSpaces>2305</CharactersWithSpaces>
  <Paragraphs>44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2024-06-12T15:23:21Z</dcterms:created>
  <dc:creator/>
  <dc:description/>
  <dc:language>en-GB</dc:language>
  <cp:lastModifiedBy/>
  <dcterms:modified xsi:type="dcterms:W3CDTF">2024-06-27T17:07:32Z</dcterms:modified>
  <cp:revision>17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