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 w:asciiTheme="majorHAnsi" w:cstheme="majorHAnsi" w:hAnsiTheme="majorHAnsi"/>
          <w:b/>
          <w:bCs/>
          <w:sz w:val="24"/>
          <w:szCs w:val="24"/>
          <w:u w:val="single"/>
        </w:rPr>
      </w:pPr>
      <w:r>
        <w:rPr>
          <w:rFonts w:cs="Arial" w:cstheme="majorHAnsi"/>
          <w:b/>
          <w:bCs/>
          <w:sz w:val="24"/>
          <w:szCs w:val="24"/>
          <w:u w:val="single"/>
        </w:rPr>
        <w:t>METADATOS</w:t>
      </w:r>
    </w:p>
    <w:p>
      <w:pPr>
        <w:pStyle w:val="Normal"/>
        <w:jc w:val="both"/>
        <w:rPr>
          <w:lang w:val="es-PE" w:eastAsia="en-US" w:bidi="ar-SA"/>
        </w:rPr>
      </w:pPr>
      <w:r>
        <w:rPr>
          <w:rFonts w:cs="Arial" w:cstheme="majorHAnsi"/>
          <w:lang w:val="es-PE" w:eastAsia="en-US" w:bidi="ar-SA"/>
        </w:rPr>
        <w:t xml:space="preserve">Metadatos del dataset:  </w:t>
      </w:r>
      <w:r>
        <w:rPr>
          <w:rFonts w:cs="Arial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es-PE" w:eastAsia="en-US" w:bidi="ar-SA"/>
        </w:rPr>
        <w:t xml:space="preserve"> </w:t>
      </w:r>
      <w:r>
        <w:rPr>
          <w:rFonts w:cs="Arial" w:cstheme="majorHAns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es-PE" w:eastAsia="en-US" w:bidi="ar-SA"/>
        </w:rPr>
        <w:t xml:space="preserve"> Registro de reconocimiento nacional de participantes en el Programa de Guardaparques Voluntarios y Comunales de las Áreas Naturales Protegidas – [Servicio Nacional de Áreas Naturales Protegidas por el Estado – SERNANP]</w:t>
      </w:r>
    </w:p>
    <w:p>
      <w:pPr>
        <w:pStyle w:val="Normal"/>
        <w:rPr>
          <w:rFonts w:ascii="Arial" w:hAnsi="Arial" w:cs="Arial" w:asciiTheme="majorHAnsi" w:cstheme="majorHAnsi" w:hAnsiTheme="majorHAnsi"/>
          <w:vanish/>
        </w:rPr>
      </w:pPr>
      <w:r>
        <w:rPr>
          <w:rFonts w:cs="Arial" w:cstheme="majorHAnsi"/>
          <w:vanish/>
        </w:rPr>
      </w:r>
    </w:p>
    <w:tbl>
      <w:tblPr>
        <w:tblStyle w:val="Tablaconcuadrcul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7484"/>
      </w:tblGrid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PE" w:eastAsia="en-US" w:bidi="ar-SA"/>
              </w:rPr>
              <w:t>Título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spacing w:before="0" w:after="160"/>
              <w:jc w:val="left"/>
              <w:rPr>
                <w:lang w:val="es-PE" w:eastAsia="en-US" w:bidi="ar-SA"/>
              </w:rPr>
            </w:pPr>
            <w:r>
              <w:rPr>
                <w:rFonts w:cs="Arial" w:cstheme="maj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  <w:lang w:val="es-PE" w:eastAsia="en-US" w:bidi="ar-SA"/>
              </w:rPr>
              <w:t>Registro de reconocimiento nacional de participantes en el Programa de Guardaparques Voluntarios y Comunales de las Áreas Naturales Protegidas – [Servicio Nacional de Áreas Naturales Protegidas por el Estado – SERNANP]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Título URL Descripción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https://www.datosabiertos.gob.pe/dataset/registro-de-reconocimiento-nacional-de-participantes-en-el-programa-de-guardaparques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 w:cstheme="majorHAnsi"/>
                <w:sz w:val="22"/>
                <w:highlight w:val="none"/>
                <w:shd w:fill="auto" w:val="clear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shd w:fill="auto" w:val="clear"/>
                <w:lang w:val="es-MX" w:eastAsia="en-US" w:bidi="ar-SA"/>
              </w:rPr>
              <w:t>Descripción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>Cada registro muestra información básica de los guardaparques voluntarios y comunales en las diferentes Áreas Naturales Protegidas a nivel Nacional.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  <w:lang w:val="es-PE" w:eastAsia="en-US" w:bidi="ar-SA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>El programa de Guardaparques Voluntarios es un mecanismo de gestión participativa, que involucra a la sociedad civil con la finalidad de fortalecer las capacidades de gestión de las ANP, con el aporte de actores comunales,  jóvenes voluntarios universitarios y técnicos, entrenándolos en las diversas disciplinas afines a la conservación, como base y aporte en su proceso de formación profesional.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>Recopila información del periodo de guardaparque voluntario y comunal.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sz w:val="22"/>
                <w:highlight w:val="none"/>
                <w:shd w:fill="auto" w:val="clear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shd w:fill="auto" w:val="clear"/>
                <w:lang w:val="es-P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shd w:fill="auto" w:val="clear"/>
                <w:lang w:val="es-PE" w:eastAsia="en-US" w:bidi="ar-SA"/>
              </w:rPr>
              <w:t>SENANP tiene en total 77 Áreas Naturales Protegidas de administración Nacional de los cuales 41 entre 2022 y 2024 participan en el Programa de Guardaparques Voluntarios y Comunales.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sz w:val="22"/>
                <w:highlight w:val="none"/>
                <w:shd w:fill="auto" w:val="clear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shd w:fill="auto" w:val="clear"/>
                <w:lang w:val="es-P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>La dataset está caracterizado por: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>Datos de Área Natural Protegida: Nombre, Categoría, Departamento, Provincia, Distrito y Ubigeo.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>Datos del voluntario: Año de participación, identificación anonimizada, procedencia, sexo.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  <w:t xml:space="preserve">Periodo del programa de guardaparque voluntario </w:t>
            </w:r>
            <w:r>
              <w:rPr>
                <w:rFonts w:cs="Arial" w:cstheme="majorHAnsi"/>
                <w:sz w:val="22"/>
                <w:lang w:val="en-GB" w:eastAsia="en-US" w:bidi="ar-SA"/>
              </w:rPr>
              <w:t>y comunales</w:t>
            </w:r>
            <w:r>
              <w:rPr>
                <w:rFonts w:cs="Arial" w:cstheme="majorHAnsi"/>
                <w:sz w:val="22"/>
                <w:lang w:val="es-PE" w:eastAsia="en-US" w:bidi="ar-SA"/>
              </w:rPr>
              <w:t>: Fecha de inicio, fecha de fin, periodo de servicio.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sz w:val="22"/>
                <w:lang w:val="es-PE" w:eastAsia="en-US" w:bidi="ar-SA"/>
              </w:rPr>
            </w:pPr>
            <w:r>
              <w:rPr>
                <w:sz w:val="22"/>
                <w:lang w:val="es-PE" w:eastAsia="en-US" w:bidi="ar-SA"/>
              </w:rPr>
              <w:t>Reconocimiento: Resolución Jefatural y fecha de emisión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jc w:val="left"/>
              <w:rPr>
                <w:rFonts w:ascii="Arial" w:hAnsi="Arial" w:cs="Arial" w:asciiTheme="majorHAnsi" w:cstheme="majorHAnsi" w:hAnsiTheme="majorHAnsi"/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sz w:val="22"/>
                <w:lang w:val="es-PE" w:eastAsia="en-US" w:bidi="ar-SA"/>
              </w:rPr>
            </w:pPr>
            <w:r>
              <w:rPr>
                <w:rFonts w:cs="Arial" w:cstheme="majorHAnsi"/>
                <w:sz w:val="22"/>
                <w:lang w:val="es-PE" w:eastAsia="en-US" w:bidi="ar-SA"/>
              </w:rPr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Entidad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Servicio Nacional de Áreas Naturales Protegidas por el Estado – [SERNANP]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Fuente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 xml:space="preserve">Unidad Operativa Funcional de Gestión de Gestión Participativa 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PE" w:eastAsia="en-US" w:bidi="ar-SA"/>
              </w:rPr>
              <w:t>Etiquetas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Área Natural Protegida, Voluntarios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Fecha de creación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2024-06-1</w:t>
            </w: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n-GB" w:eastAsia="en-US" w:bidi="ar-SA"/>
              </w:rPr>
              <w:t>8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Frecuencia de actualización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Trimestral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Última actualización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2024-06-1</w:t>
            </w: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n-GB" w:eastAsia="en-US" w:bidi="ar-SA"/>
              </w:rPr>
              <w:t>8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Versión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lang w:val="en-GB"/>
              </w:rPr>
            </w:pPr>
            <w:r>
              <w:rPr>
                <w:rFonts w:cs="Arial" w:cstheme="majorHAnsi"/>
                <w:sz w:val="22"/>
                <w:lang w:val="en-GB"/>
              </w:rPr>
              <w:t>1.0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Licencia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hyperlink r:id="rId2">
              <w:r>
                <w:rPr>
                  <w:rStyle w:val="Hyperlink"/>
                  <w:rFonts w:eastAsia="Arial" w:cs="Arial" w:cstheme="majorHAnsi"/>
                  <w:color w:val="0A77BD"/>
                  <w:kern w:val="2"/>
                  <w:sz w:val="22"/>
                  <w:szCs w:val="22"/>
                  <w:lang w:val="en-US" w:eastAsia="en-US" w:bidi="ar-SA"/>
                </w:rPr>
                <w:t>Open Data Commons Attribution License</w:t>
              </w:r>
            </w:hyperlink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Idioma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Español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Nivel de acceso público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Público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Tipo de recurso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Dataset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b/>
                <w:bCs/>
              </w:rPr>
            </w:pPr>
            <w:r>
              <w:rPr>
                <w:rFonts w:eastAsia="Arial" w:cs="Arial" w:cstheme="majorHAnsi"/>
                <w:b/>
                <w:bCs/>
                <w:kern w:val="0"/>
                <w:sz w:val="22"/>
                <w:szCs w:val="22"/>
                <w:lang w:val="es-PE" w:eastAsia="en-US" w:bidi="ar-SA"/>
              </w:rPr>
              <w:t>Formato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CSV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shd w:fill="auto" w:val="clear"/>
                <w:lang w:val="es-MX" w:eastAsia="en-US" w:bidi="ar-SA"/>
              </w:rPr>
              <w:t>Cobertura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  <w:lang w:val="en-GB"/>
              </w:rPr>
              <w:t>Perú, 2022 - 2024</w:t>
            </w:r>
          </w:p>
        </w:tc>
      </w:tr>
      <w:tr>
        <w:trPr>
          <w:trHeight w:val="297" w:hRule="atLeast"/>
        </w:trPr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Arial" w:cs="Arial" w:cstheme="majorHAnsi"/>
                <w:b/>
                <w:bCs/>
                <w:kern w:val="0"/>
                <w:sz w:val="22"/>
                <w:szCs w:val="22"/>
                <w:shd w:fill="auto" w:val="clear"/>
                <w:lang w:val="es-PE" w:eastAsia="en-US" w:bidi="ar-SA"/>
              </w:rPr>
              <w:t>Correo de contacto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</w:rPr>
              <w:t>rloayzaf</w:t>
            </w:r>
            <w:r>
              <w:rPr>
                <w:rFonts w:cs="Arial" w:cstheme="majorHAnsi"/>
                <w:sz w:val="22"/>
                <w:shd w:fill="auto" w:val="clear"/>
                <w:lang w:val="en-GB"/>
              </w:rPr>
              <w:t>@sernanp.gob.pe</w:t>
            </w:r>
          </w:p>
        </w:tc>
      </w:tr>
    </w:tbl>
    <w:p>
      <w:pPr>
        <w:pStyle w:val="Normal"/>
        <w:spacing w:before="0" w:after="160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es-P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es-P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9f0ca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f0ca5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 pitchFamily="0" charset="1"/>
        <a:ea typeface=""/>
        <a:cs typeface=""/>
      </a:majorFont>
      <a:minorFont>
        <a:latin typeface="Arial" panose="020B06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Application>LibreOffice/7.6.4.1$Windows_X86_64 LibreOffice_project/e19e193f88cd6c0525a17fb7a176ed8e6a3e2aa1</Application>
  <AppVersion>15.0000</AppVersion>
  <Pages>1</Pages>
  <Words>305</Words>
  <Characters>2038</Characters>
  <CharactersWithSpaces>2305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2024-06-12T15:23:21Z</dcterms:created>
  <dc:creator/>
  <dc:description/>
  <dc:language>en-GB</dc:language>
  <cp:lastModifiedBy/>
  <dcterms:modified xsi:type="dcterms:W3CDTF">2024-06-27T17:07:32Z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