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882781" w:rsidRDefault="0072683D" w:rsidP="00C66D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2781">
        <w:rPr>
          <w:rFonts w:ascii="Arial" w:hAnsi="Arial" w:cs="Arial"/>
          <w:b/>
          <w:bCs/>
          <w:sz w:val="24"/>
          <w:szCs w:val="24"/>
        </w:rPr>
        <w:t>METADATOS</w:t>
      </w:r>
    </w:p>
    <w:p w14:paraId="1A1621F1" w14:textId="2268DBA6" w:rsidR="00046C8F" w:rsidRPr="00920014" w:rsidRDefault="00046C8F" w:rsidP="00046C8F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920014">
        <w:rPr>
          <w:rFonts w:ascii="Arial" w:hAnsi="Arial" w:cs="Arial"/>
          <w:kern w:val="0"/>
          <w:sz w:val="20"/>
          <w:szCs w:val="20"/>
          <w14:ligatures w14:val="none"/>
        </w:rPr>
        <w:t>Metadatos del dataset: PROVEEDORES SANCIONADOS CON INHABILITACIÓN VIGENTE–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920014" w14:paraId="1B8737A0" w14:textId="77777777" w:rsidTr="00085D11">
        <w:tc>
          <w:tcPr>
            <w:tcW w:w="2830" w:type="dxa"/>
          </w:tcPr>
          <w:p w14:paraId="1886D851" w14:textId="64595C6B" w:rsidR="00C66D5A" w:rsidRPr="00920014" w:rsidRDefault="0072683D" w:rsidP="00C6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795E70BD" w:rsidR="00C66D5A" w:rsidRPr="00920014" w:rsidRDefault="001A05AD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Proveedores Sancionados con Inhabilitación vigente - [Organismo Supervisor de las Contrataciones del Estado (OSCE)]</w:t>
            </w:r>
          </w:p>
        </w:tc>
      </w:tr>
      <w:tr w:rsidR="00C66D5A" w:rsidRPr="00920014" w14:paraId="2575E30D" w14:textId="77777777" w:rsidTr="00085D11">
        <w:tc>
          <w:tcPr>
            <w:tcW w:w="2830" w:type="dxa"/>
          </w:tcPr>
          <w:p w14:paraId="20FDDEC2" w14:textId="72649339" w:rsidR="00C66D5A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17477357" w14:textId="3419B243" w:rsidR="00C66D5A" w:rsidRPr="00920014" w:rsidRDefault="00920014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92001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https://www.datosabiertos.gob.pe/dataset/proveedores-sancionados-con-inhabilitaci%C3%B3n-vigente-organismo-supervisor-de-las</w:t>
              </w:r>
            </w:hyperlink>
          </w:p>
          <w:p w14:paraId="46577D7C" w14:textId="007BBEA6" w:rsidR="00920014" w:rsidRPr="00920014" w:rsidRDefault="00920014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920014" w14:paraId="6B04B7E8" w14:textId="77777777" w:rsidTr="00085D11">
        <w:tc>
          <w:tcPr>
            <w:tcW w:w="2830" w:type="dxa"/>
          </w:tcPr>
          <w:p w14:paraId="7315219B" w14:textId="4C042E6D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25432B19" w14:textId="5D012093" w:rsidR="00490D11" w:rsidRPr="00920014" w:rsidRDefault="001A05AD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El listado de proveedores sancionados con inhabilitación temporal o definitiva para contratar con el Estado, corresponde al listado</w:t>
            </w:r>
            <w:r w:rsidR="0025486F" w:rsidRPr="00920014">
              <w:rPr>
                <w:rFonts w:ascii="Arial" w:hAnsi="Arial" w:cs="Arial"/>
                <w:sz w:val="20"/>
                <w:szCs w:val="20"/>
              </w:rPr>
              <w:t xml:space="preserve"> vigente</w:t>
            </w:r>
            <w:r w:rsidRPr="00920014">
              <w:rPr>
                <w:rFonts w:ascii="Arial" w:hAnsi="Arial" w:cs="Arial"/>
                <w:sz w:val="20"/>
                <w:szCs w:val="20"/>
              </w:rPr>
              <w:t xml:space="preserve"> de proveedores sancionados con inhabilitación para contratar con el Estado, hasta la fecha dispuesta por el Tribunal de Contrataciones del Estado (TCE) o de forma definitiva.</w:t>
            </w:r>
          </w:p>
          <w:p w14:paraId="7627AB61" w14:textId="77777777" w:rsidR="001A05AD" w:rsidRPr="00920014" w:rsidRDefault="001A05AD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5AA32" w14:textId="77777777" w:rsidR="008F1CFE" w:rsidRPr="00920014" w:rsidRDefault="008F1CFE" w:rsidP="008F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Este dataset está caracterizado por:</w:t>
            </w:r>
          </w:p>
          <w:p w14:paraId="2558C5DA" w14:textId="2984767E" w:rsidR="001A05AD" w:rsidRPr="00920014" w:rsidRDefault="008F1ADE" w:rsidP="001A05A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 xml:space="preserve">Fecha de corte de la información </w:t>
            </w:r>
            <w:r w:rsidR="008F1CFE" w:rsidRPr="00920014">
              <w:rPr>
                <w:rFonts w:ascii="Arial" w:hAnsi="Arial" w:cs="Arial"/>
                <w:sz w:val="20"/>
                <w:szCs w:val="20"/>
              </w:rPr>
              <w:t>(</w:t>
            </w:r>
            <w:r w:rsidR="001A05AD" w:rsidRPr="00920014">
              <w:rPr>
                <w:rFonts w:ascii="Arial" w:hAnsi="Arial" w:cs="Arial"/>
                <w:sz w:val="20"/>
                <w:szCs w:val="20"/>
              </w:rPr>
              <w:t>FECHA_CORTE</w:t>
            </w:r>
            <w:r w:rsidR="008F1CFE" w:rsidRPr="00920014">
              <w:rPr>
                <w:rFonts w:ascii="Arial" w:hAnsi="Arial" w:cs="Arial"/>
                <w:sz w:val="20"/>
                <w:szCs w:val="20"/>
              </w:rPr>
              <w:t>)</w:t>
            </w:r>
            <w:r w:rsidRPr="009200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AAFEA8" w14:textId="59C29AF6" w:rsidR="001A05AD" w:rsidRPr="00920014" w:rsidRDefault="008F1CFE" w:rsidP="001A05A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Número de RUC del proveedor (</w:t>
            </w:r>
            <w:r w:rsidR="001A05AD" w:rsidRPr="00920014">
              <w:rPr>
                <w:rFonts w:ascii="Arial" w:hAnsi="Arial" w:cs="Arial"/>
                <w:sz w:val="20"/>
                <w:szCs w:val="20"/>
              </w:rPr>
              <w:t>RUC</w:t>
            </w:r>
            <w:r w:rsidRPr="00920014">
              <w:rPr>
                <w:rFonts w:ascii="Arial" w:hAnsi="Arial" w:cs="Arial"/>
                <w:sz w:val="20"/>
                <w:szCs w:val="20"/>
              </w:rPr>
              <w:t>)</w:t>
            </w:r>
            <w:r w:rsidR="008F1ADE" w:rsidRPr="009200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F8514B" w14:textId="7D6655D8" w:rsidR="001A05AD" w:rsidRPr="00920014" w:rsidRDefault="0069252E" w:rsidP="001A05A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 xml:space="preserve">Nombre de un proveedor si es persona natural, o, la razón social de un proveedor si es una persona jurídica </w:t>
            </w:r>
            <w:r w:rsidR="008F1CFE" w:rsidRPr="00920014">
              <w:rPr>
                <w:rFonts w:ascii="Arial" w:hAnsi="Arial" w:cs="Arial"/>
                <w:sz w:val="20"/>
                <w:szCs w:val="20"/>
              </w:rPr>
              <w:t>(</w:t>
            </w:r>
            <w:r w:rsidR="001A05AD" w:rsidRPr="00920014">
              <w:rPr>
                <w:rFonts w:ascii="Arial" w:hAnsi="Arial" w:cs="Arial"/>
                <w:sz w:val="20"/>
                <w:szCs w:val="20"/>
              </w:rPr>
              <w:t>NOMBRE_RAZONODENOMINACIONSOCIAL</w:t>
            </w:r>
            <w:r w:rsidR="008F1CFE" w:rsidRPr="00920014">
              <w:rPr>
                <w:rFonts w:ascii="Arial" w:hAnsi="Arial" w:cs="Arial"/>
                <w:sz w:val="20"/>
                <w:szCs w:val="20"/>
              </w:rPr>
              <w:t>)</w:t>
            </w:r>
            <w:r w:rsidR="008F1ADE" w:rsidRPr="009200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53710E" w14:textId="691E842C" w:rsidR="001A05AD" w:rsidRPr="00920014" w:rsidRDefault="008F1CFE" w:rsidP="001A05A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Fecha que se inicia el periodo de suspensión respectivo (</w:t>
            </w:r>
            <w:r w:rsidR="001A05AD" w:rsidRPr="00920014">
              <w:rPr>
                <w:rFonts w:ascii="Arial" w:hAnsi="Arial" w:cs="Arial"/>
                <w:sz w:val="20"/>
                <w:szCs w:val="20"/>
              </w:rPr>
              <w:t>FECHA_INICIO</w:t>
            </w:r>
            <w:r w:rsidRPr="00920014">
              <w:rPr>
                <w:rFonts w:ascii="Arial" w:hAnsi="Arial" w:cs="Arial"/>
                <w:sz w:val="20"/>
                <w:szCs w:val="20"/>
              </w:rPr>
              <w:t>)</w:t>
            </w:r>
            <w:r w:rsidR="008F1ADE" w:rsidRPr="009200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24F283" w14:textId="52C18751" w:rsidR="001A05AD" w:rsidRPr="00920014" w:rsidRDefault="008F1CFE" w:rsidP="001A05A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Fecha en que culmina el periodo de suspensión respectivo (</w:t>
            </w:r>
            <w:r w:rsidR="001A05AD" w:rsidRPr="00920014">
              <w:rPr>
                <w:rFonts w:ascii="Arial" w:hAnsi="Arial" w:cs="Arial"/>
                <w:sz w:val="20"/>
                <w:szCs w:val="20"/>
              </w:rPr>
              <w:t>FECHA_FIN</w:t>
            </w:r>
            <w:r w:rsidRPr="00920014">
              <w:rPr>
                <w:rFonts w:ascii="Arial" w:hAnsi="Arial" w:cs="Arial"/>
                <w:sz w:val="20"/>
                <w:szCs w:val="20"/>
              </w:rPr>
              <w:t>)</w:t>
            </w:r>
            <w:r w:rsidR="008F1ADE" w:rsidRPr="009200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786FEB" w14:textId="65710783" w:rsidR="001A05AD" w:rsidRPr="00920014" w:rsidRDefault="008F1CFE" w:rsidP="001A05A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Nomenclatura (Número, año y siglas de la Sala del TCE) de la Resolución emitida por el Tribunal de Contrataciones del Estado (</w:t>
            </w:r>
            <w:r w:rsidR="001A05AD" w:rsidRPr="00920014">
              <w:rPr>
                <w:rFonts w:ascii="Arial" w:hAnsi="Arial" w:cs="Arial"/>
                <w:sz w:val="20"/>
                <w:szCs w:val="20"/>
              </w:rPr>
              <w:t>NÚMERO_ RESOLUCION</w:t>
            </w:r>
            <w:r w:rsidRPr="00920014">
              <w:rPr>
                <w:rFonts w:ascii="Arial" w:hAnsi="Arial" w:cs="Arial"/>
                <w:sz w:val="20"/>
                <w:szCs w:val="20"/>
              </w:rPr>
              <w:t>)</w:t>
            </w:r>
            <w:r w:rsidR="008F1ADE" w:rsidRPr="009200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6A6C88" w14:textId="3C3A2BAB" w:rsidR="001A05AD" w:rsidRPr="00920014" w:rsidRDefault="008F1CFE" w:rsidP="001A05A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Código de la infracción que ha incurrido el proveedor (</w:t>
            </w:r>
            <w:r w:rsidR="001A05AD" w:rsidRPr="00920014">
              <w:rPr>
                <w:rFonts w:ascii="Arial" w:hAnsi="Arial" w:cs="Arial"/>
                <w:sz w:val="20"/>
                <w:szCs w:val="20"/>
              </w:rPr>
              <w:t>ID_MOTIVO_INFRACCION</w:t>
            </w:r>
            <w:r w:rsidRPr="00920014">
              <w:rPr>
                <w:rFonts w:ascii="Arial" w:hAnsi="Arial" w:cs="Arial"/>
                <w:sz w:val="20"/>
                <w:szCs w:val="20"/>
              </w:rPr>
              <w:t>)</w:t>
            </w:r>
            <w:r w:rsidR="008F1ADE" w:rsidRPr="009200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4135B3" w14:textId="1EAA1B5C" w:rsidR="00DE3E8B" w:rsidRPr="00920014" w:rsidRDefault="008F1CFE" w:rsidP="00347A6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Descripción de la infracción que ha incurrido el proveedor (</w:t>
            </w:r>
            <w:r w:rsidR="001A05AD" w:rsidRPr="00920014">
              <w:rPr>
                <w:rFonts w:ascii="Arial" w:hAnsi="Arial" w:cs="Arial"/>
                <w:sz w:val="20"/>
                <w:szCs w:val="20"/>
              </w:rPr>
              <w:t>DE_MOTIVO_INFRACCION</w:t>
            </w:r>
            <w:r w:rsidRPr="00920014">
              <w:rPr>
                <w:rFonts w:ascii="Arial" w:hAnsi="Arial" w:cs="Arial"/>
                <w:sz w:val="20"/>
                <w:szCs w:val="20"/>
              </w:rPr>
              <w:t>)</w:t>
            </w:r>
            <w:r w:rsidR="008F1ADE" w:rsidRPr="009200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1693C8D8" w:rsidR="00D87D3B" w:rsidRPr="00920014" w:rsidRDefault="00D87D3B" w:rsidP="00D87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920014" w14:paraId="36479B84" w14:textId="77777777" w:rsidTr="00085D11">
        <w:tc>
          <w:tcPr>
            <w:tcW w:w="2830" w:type="dxa"/>
          </w:tcPr>
          <w:p w14:paraId="4BEC648B" w14:textId="6096FCD9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060" w:type="dxa"/>
          </w:tcPr>
          <w:p w14:paraId="46DA0D93" w14:textId="65A66B55" w:rsidR="0072683D" w:rsidRPr="00920014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920014" w14:paraId="72696D76" w14:textId="77777777" w:rsidTr="00085D11">
        <w:tc>
          <w:tcPr>
            <w:tcW w:w="2830" w:type="dxa"/>
          </w:tcPr>
          <w:p w14:paraId="173F0269" w14:textId="329FD763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2DEFCB5C" w:rsidR="0072683D" w:rsidRPr="00920014" w:rsidRDefault="005A6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TRIBUNAL DE CONTRATACIONES DEL ESTADO - TCE</w:t>
            </w:r>
          </w:p>
        </w:tc>
      </w:tr>
      <w:tr w:rsidR="0072683D" w:rsidRPr="00920014" w14:paraId="52609508" w14:textId="77777777" w:rsidTr="00085D11">
        <w:tc>
          <w:tcPr>
            <w:tcW w:w="2830" w:type="dxa"/>
          </w:tcPr>
          <w:p w14:paraId="51994539" w14:textId="1C3D2C66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1C628E70" w:rsidR="0072683D" w:rsidRPr="00920014" w:rsidRDefault="00920014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Proveedores sancionados; sancionados con inhabilitación; inhabilitados</w:t>
            </w:r>
          </w:p>
        </w:tc>
      </w:tr>
      <w:tr w:rsidR="0072683D" w:rsidRPr="00920014" w14:paraId="7CA7AF78" w14:textId="77777777" w:rsidTr="00085D11">
        <w:tc>
          <w:tcPr>
            <w:tcW w:w="2830" w:type="dxa"/>
          </w:tcPr>
          <w:p w14:paraId="50F396AB" w14:textId="19F37B33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6DFCB423" w:rsidR="0072683D" w:rsidRPr="00920014" w:rsidRDefault="00920014">
            <w:pPr>
              <w:rPr>
                <w:rFonts w:ascii="Arial" w:hAnsi="Arial" w:cs="Arial"/>
                <w:sz w:val="20"/>
                <w:szCs w:val="20"/>
              </w:rPr>
            </w:pPr>
            <w:r w:rsidRPr="009913F8">
              <w:rPr>
                <w:rFonts w:ascii="Arial" w:hAnsi="Arial" w:cs="Arial"/>
                <w:sz w:val="20"/>
                <w:szCs w:val="20"/>
              </w:rPr>
              <w:t>202</w:t>
            </w:r>
            <w:r w:rsidR="009913F8" w:rsidRPr="009913F8">
              <w:rPr>
                <w:rFonts w:ascii="Arial" w:hAnsi="Arial" w:cs="Arial"/>
                <w:sz w:val="20"/>
                <w:szCs w:val="20"/>
              </w:rPr>
              <w:t>1</w:t>
            </w:r>
            <w:r w:rsidRPr="009913F8">
              <w:rPr>
                <w:rFonts w:ascii="Arial" w:hAnsi="Arial" w:cs="Arial"/>
                <w:sz w:val="20"/>
                <w:szCs w:val="20"/>
              </w:rPr>
              <w:t>-0</w:t>
            </w:r>
            <w:r w:rsidR="009913F8" w:rsidRPr="009913F8">
              <w:rPr>
                <w:rFonts w:ascii="Arial" w:hAnsi="Arial" w:cs="Arial"/>
                <w:sz w:val="20"/>
                <w:szCs w:val="20"/>
              </w:rPr>
              <w:t>7</w:t>
            </w:r>
            <w:r w:rsidRPr="009913F8">
              <w:rPr>
                <w:rFonts w:ascii="Arial" w:hAnsi="Arial" w:cs="Arial"/>
                <w:sz w:val="20"/>
                <w:szCs w:val="20"/>
              </w:rPr>
              <w:t>-</w:t>
            </w:r>
            <w:r w:rsidR="009913F8" w:rsidRPr="009913F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72683D" w:rsidRPr="00920014" w14:paraId="40D942E8" w14:textId="77777777" w:rsidTr="00085D11">
        <w:tc>
          <w:tcPr>
            <w:tcW w:w="2830" w:type="dxa"/>
          </w:tcPr>
          <w:p w14:paraId="48037B9D" w14:textId="7A2DD213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02A42B60" w:rsidR="0072683D" w:rsidRPr="00920014" w:rsidRDefault="00991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</w:tr>
      <w:tr w:rsidR="0072683D" w:rsidRPr="00920014" w14:paraId="208AE730" w14:textId="77777777" w:rsidTr="00085D11">
        <w:tc>
          <w:tcPr>
            <w:tcW w:w="2830" w:type="dxa"/>
          </w:tcPr>
          <w:p w14:paraId="69E89B91" w14:textId="289D57C4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591D08D2" w:rsidR="0072683D" w:rsidRPr="00920014" w:rsidRDefault="00920014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2025-0</w:t>
            </w:r>
            <w:r w:rsidR="00661F51">
              <w:rPr>
                <w:rFonts w:ascii="Arial" w:hAnsi="Arial" w:cs="Arial"/>
                <w:sz w:val="20"/>
                <w:szCs w:val="20"/>
              </w:rPr>
              <w:t>3</w:t>
            </w:r>
            <w:r w:rsidR="00061C02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</w:tr>
      <w:tr w:rsidR="0072683D" w:rsidRPr="00920014" w14:paraId="1F5D6B0A" w14:textId="77777777" w:rsidTr="00085D11">
        <w:tc>
          <w:tcPr>
            <w:tcW w:w="2830" w:type="dxa"/>
          </w:tcPr>
          <w:p w14:paraId="4E27C27E" w14:textId="0C3AC819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61FF02DD" w:rsidR="0072683D" w:rsidRPr="00920014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72683D" w:rsidRPr="00920014" w14:paraId="74EE836D" w14:textId="77777777" w:rsidTr="00085D11">
        <w:tc>
          <w:tcPr>
            <w:tcW w:w="2830" w:type="dxa"/>
          </w:tcPr>
          <w:p w14:paraId="5DE020CB" w14:textId="50A3799D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36774973" w:rsidR="0072683D" w:rsidRPr="00920014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Open Data Commons Attribution License</w:t>
            </w:r>
          </w:p>
        </w:tc>
      </w:tr>
      <w:tr w:rsidR="0072683D" w:rsidRPr="00920014" w14:paraId="1AB5CC6E" w14:textId="77777777" w:rsidTr="00085D11">
        <w:tc>
          <w:tcPr>
            <w:tcW w:w="2830" w:type="dxa"/>
          </w:tcPr>
          <w:p w14:paraId="7D34DDF6" w14:textId="2629F4AF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33DDD0B9" w:rsidR="0072683D" w:rsidRPr="00920014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72683D" w:rsidRPr="00920014" w14:paraId="1EB38CC8" w14:textId="77777777" w:rsidTr="00085D11">
        <w:tc>
          <w:tcPr>
            <w:tcW w:w="2830" w:type="dxa"/>
          </w:tcPr>
          <w:p w14:paraId="4B70454B" w14:textId="73409BB8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23E306B3" w:rsidR="0072683D" w:rsidRPr="00920014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72683D" w:rsidRPr="00920014" w14:paraId="31169D5D" w14:textId="77777777" w:rsidTr="00085D11">
        <w:tc>
          <w:tcPr>
            <w:tcW w:w="2830" w:type="dxa"/>
          </w:tcPr>
          <w:p w14:paraId="692C8429" w14:textId="3DF532AD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06ED22A0" w:rsidR="0072683D" w:rsidRPr="00920014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</w:tr>
      <w:tr w:rsidR="0072683D" w:rsidRPr="00920014" w14:paraId="1B7F1A71" w14:textId="77777777" w:rsidTr="00085D11">
        <w:tc>
          <w:tcPr>
            <w:tcW w:w="2830" w:type="dxa"/>
          </w:tcPr>
          <w:p w14:paraId="4B9FD984" w14:textId="3C7631D1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154692B2" w:rsidR="0072683D" w:rsidRPr="00920014" w:rsidRDefault="001A05AD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72683D" w:rsidRPr="00920014" w14:paraId="0C7F7E9A" w14:textId="77777777" w:rsidTr="00085D11">
        <w:tc>
          <w:tcPr>
            <w:tcW w:w="2830" w:type="dxa"/>
          </w:tcPr>
          <w:p w14:paraId="76262B60" w14:textId="710280A9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67B74DFC" w:rsidR="0072683D" w:rsidRPr="00920014" w:rsidRDefault="00920014">
            <w:pPr>
              <w:rPr>
                <w:rFonts w:ascii="Arial" w:hAnsi="Arial" w:cs="Arial"/>
                <w:sz w:val="20"/>
                <w:szCs w:val="20"/>
              </w:rPr>
            </w:pPr>
            <w:r w:rsidRPr="00920014">
              <w:rPr>
                <w:rFonts w:ascii="Arial" w:hAnsi="Arial" w:cs="Arial"/>
                <w:sz w:val="20"/>
                <w:szCs w:val="20"/>
              </w:rPr>
              <w:t>Perú, vigentes, se conserva la última versión publicada</w:t>
            </w:r>
          </w:p>
        </w:tc>
      </w:tr>
      <w:tr w:rsidR="0072683D" w:rsidRPr="00920014" w14:paraId="7FD99366" w14:textId="77777777" w:rsidTr="00085D11">
        <w:tc>
          <w:tcPr>
            <w:tcW w:w="2830" w:type="dxa"/>
          </w:tcPr>
          <w:p w14:paraId="0BD3D589" w14:textId="6FF1D165" w:rsidR="0072683D" w:rsidRPr="00920014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2001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064BAB41" w14:textId="192F2E41" w:rsidR="0072683D" w:rsidRDefault="00920014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936ABF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sugerencias_conosce@osce.gob.pe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67E4F5" w14:textId="675FE5AD" w:rsidR="00920014" w:rsidRDefault="00920014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936ABF">
                <w:rPr>
                  <w:rStyle w:val="Hipervnculo"/>
                  <w:rFonts w:ascii="Arial" w:hAnsi="Arial" w:cs="Arial"/>
                  <w:sz w:val="20"/>
                  <w:szCs w:val="20"/>
                </w:rPr>
                <w:t>jmogrovejo@osce.gob.pe</w:t>
              </w:r>
            </w:hyperlink>
          </w:p>
          <w:p w14:paraId="58B3ABFB" w14:textId="4C245431" w:rsidR="00920014" w:rsidRPr="00920014" w:rsidRDefault="009200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73FFD" w14:textId="77777777" w:rsidR="009700C3" w:rsidRPr="009700C3" w:rsidRDefault="009700C3">
      <w:pPr>
        <w:rPr>
          <w:rFonts w:ascii="Aptos Narrow" w:hAnsi="Aptos Narrow"/>
        </w:rPr>
      </w:pPr>
    </w:p>
    <w:sectPr w:rsidR="009700C3" w:rsidRPr="009700C3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46C8F"/>
    <w:rsid w:val="00061C02"/>
    <w:rsid w:val="00080D77"/>
    <w:rsid w:val="00085D11"/>
    <w:rsid w:val="000D67A1"/>
    <w:rsid w:val="000D6F1A"/>
    <w:rsid w:val="001706C9"/>
    <w:rsid w:val="001A05AD"/>
    <w:rsid w:val="001F0839"/>
    <w:rsid w:val="002125E1"/>
    <w:rsid w:val="00223158"/>
    <w:rsid w:val="0025486F"/>
    <w:rsid w:val="002A1BA0"/>
    <w:rsid w:val="00347A6F"/>
    <w:rsid w:val="003E2D91"/>
    <w:rsid w:val="00490D11"/>
    <w:rsid w:val="005A6680"/>
    <w:rsid w:val="005A730E"/>
    <w:rsid w:val="005C7E0E"/>
    <w:rsid w:val="005E1878"/>
    <w:rsid w:val="00661F51"/>
    <w:rsid w:val="006648BB"/>
    <w:rsid w:val="0069252E"/>
    <w:rsid w:val="006E23A9"/>
    <w:rsid w:val="0072683D"/>
    <w:rsid w:val="007F077B"/>
    <w:rsid w:val="007F7164"/>
    <w:rsid w:val="00841393"/>
    <w:rsid w:val="00882781"/>
    <w:rsid w:val="008B6A09"/>
    <w:rsid w:val="008F1ADE"/>
    <w:rsid w:val="008F1CFE"/>
    <w:rsid w:val="008F70D3"/>
    <w:rsid w:val="00920014"/>
    <w:rsid w:val="009700C3"/>
    <w:rsid w:val="009913F8"/>
    <w:rsid w:val="00AF5FFF"/>
    <w:rsid w:val="00B57A14"/>
    <w:rsid w:val="00B916AC"/>
    <w:rsid w:val="00BF495B"/>
    <w:rsid w:val="00C06406"/>
    <w:rsid w:val="00C24B77"/>
    <w:rsid w:val="00C309E9"/>
    <w:rsid w:val="00C66D5A"/>
    <w:rsid w:val="00C81B2E"/>
    <w:rsid w:val="00C936A6"/>
    <w:rsid w:val="00CC6A33"/>
    <w:rsid w:val="00CF24CB"/>
    <w:rsid w:val="00D32D6E"/>
    <w:rsid w:val="00D87D3B"/>
    <w:rsid w:val="00DB727D"/>
    <w:rsid w:val="00DE3E8B"/>
    <w:rsid w:val="00E53006"/>
    <w:rsid w:val="00ED3629"/>
    <w:rsid w:val="00FB46BE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proveedores-sancionados-con-inhabilitaci%C3%B3n-vigente-organismo-supervisor-de-l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10</cp:revision>
  <dcterms:created xsi:type="dcterms:W3CDTF">2025-02-24T15:11:00Z</dcterms:created>
  <dcterms:modified xsi:type="dcterms:W3CDTF">2025-04-08T02:13:00Z</dcterms:modified>
</cp:coreProperties>
</file>