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058" w:rsidRDefault="00AF538D">
      <w:pPr>
        <w:jc w:val="center"/>
        <w:rPr>
          <w:b/>
          <w:sz w:val="24"/>
          <w:szCs w:val="24"/>
          <w:u w:val="single"/>
        </w:rPr>
      </w:pPr>
      <w:r>
        <w:rPr>
          <w:b/>
          <w:sz w:val="24"/>
          <w:szCs w:val="24"/>
          <w:u w:val="single"/>
        </w:rPr>
        <w:t>METADATOS</w:t>
      </w:r>
    </w:p>
    <w:p w:rsidR="00BB7058" w:rsidRDefault="00BB7058"/>
    <w:p w:rsidR="00BB7058" w:rsidRDefault="00AF538D">
      <w:r>
        <w:t xml:space="preserve">Metadatos del </w:t>
      </w:r>
      <w:proofErr w:type="spellStart"/>
      <w:r>
        <w:t>dataset</w:t>
      </w:r>
      <w:proofErr w:type="spellEnd"/>
      <w:r>
        <w:t xml:space="preserve">: </w:t>
      </w:r>
      <w:proofErr w:type="spellStart"/>
      <w:r w:rsidRPr="00AF538D">
        <w:t>Dataset</w:t>
      </w:r>
      <w:proofErr w:type="spellEnd"/>
      <w:r w:rsidRPr="00AF538D">
        <w:t xml:space="preserve"> de la Estación Meteorológica Automática para variables atmosféricas de LAMAR - Junín, Perú - [Instituto Geofísico del Perú - IGP]</w:t>
      </w:r>
    </w:p>
    <w:p w:rsidR="00BB7058" w:rsidRDefault="00AF538D">
      <w:r>
        <w:t xml:space="preserve">  </w:t>
      </w:r>
    </w:p>
    <w:tbl>
      <w:tblPr>
        <w:tblStyle w:val="a0"/>
        <w:tblW w:w="104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1"/>
        <w:gridCol w:w="7485"/>
      </w:tblGrid>
      <w:tr w:rsidR="00BB7058">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58" w:rsidRDefault="00AF538D">
            <w:pPr>
              <w:rPr>
                <w:b/>
                <w:color w:val="000000"/>
                <w:sz w:val="20"/>
                <w:szCs w:val="20"/>
              </w:rPr>
            </w:pPr>
            <w:r>
              <w:rPr>
                <w:b/>
                <w:color w:val="000000"/>
                <w:sz w:val="20"/>
                <w:szCs w:val="20"/>
              </w:rPr>
              <w:t>Título</w:t>
            </w:r>
          </w:p>
        </w:tc>
        <w:tc>
          <w:tcPr>
            <w:tcW w:w="7485" w:type="dxa"/>
            <w:tcBorders>
              <w:top w:val="single" w:sz="4" w:space="0" w:color="000000"/>
              <w:left w:val="single" w:sz="4" w:space="0" w:color="000000"/>
              <w:bottom w:val="single" w:sz="4" w:space="0" w:color="000000"/>
              <w:right w:val="single" w:sz="4" w:space="0" w:color="000000"/>
            </w:tcBorders>
            <w:shd w:val="clear" w:color="auto" w:fill="auto"/>
          </w:tcPr>
          <w:p w:rsidR="00BB7058" w:rsidRDefault="00AF538D">
            <w:proofErr w:type="spellStart"/>
            <w:r>
              <w:t>Dataset</w:t>
            </w:r>
            <w:proofErr w:type="spellEnd"/>
            <w:r>
              <w:t xml:space="preserve"> de la Estación Meteorológica Automática para variables atmosféricas de LAMAR - Junín, Perú - [Instituto Geofísico del Perú - IGP]</w:t>
            </w:r>
          </w:p>
        </w:tc>
      </w:tr>
      <w:tr w:rsidR="00BB7058">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58" w:rsidRDefault="00AF538D">
            <w:pPr>
              <w:rPr>
                <w:b/>
                <w:color w:val="000000"/>
                <w:sz w:val="20"/>
                <w:szCs w:val="20"/>
              </w:rPr>
            </w:pPr>
            <w:r>
              <w:rPr>
                <w:b/>
                <w:color w:val="000000"/>
                <w:sz w:val="20"/>
                <w:szCs w:val="20"/>
              </w:rPr>
              <w:t>Título URL Descripción</w:t>
            </w:r>
          </w:p>
        </w:tc>
        <w:tc>
          <w:tcPr>
            <w:tcW w:w="7485" w:type="dxa"/>
            <w:tcBorders>
              <w:top w:val="single" w:sz="4" w:space="0" w:color="000000"/>
              <w:left w:val="single" w:sz="4" w:space="0" w:color="000000"/>
              <w:bottom w:val="single" w:sz="4" w:space="0" w:color="000000"/>
              <w:right w:val="single" w:sz="4" w:space="0" w:color="000000"/>
            </w:tcBorders>
            <w:shd w:val="clear" w:color="auto" w:fill="auto"/>
          </w:tcPr>
          <w:p w:rsidR="00BB7058" w:rsidRDefault="00493A49">
            <w:r w:rsidRPr="00493A49">
              <w:t>https://www.datosabiertos.gob.pe/dataset/metadatos-del-dataset-dataset-de-la-estación-meteorológica-automática-para-variables</w:t>
            </w:r>
            <w:bookmarkStart w:id="0" w:name="_GoBack"/>
            <w:bookmarkEnd w:id="0"/>
          </w:p>
        </w:tc>
      </w:tr>
      <w:tr w:rsidR="00BB7058">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58" w:rsidRDefault="00AF538D">
            <w:pPr>
              <w:jc w:val="both"/>
              <w:rPr>
                <w:b/>
                <w:sz w:val="20"/>
                <w:szCs w:val="20"/>
              </w:rPr>
            </w:pPr>
            <w:r>
              <w:rPr>
                <w:b/>
                <w:sz w:val="20"/>
                <w:szCs w:val="20"/>
              </w:rPr>
              <w:t>Descripción</w:t>
            </w:r>
          </w:p>
        </w:tc>
        <w:tc>
          <w:tcPr>
            <w:tcW w:w="7485" w:type="dxa"/>
            <w:tcBorders>
              <w:top w:val="single" w:sz="4" w:space="0" w:color="000000"/>
              <w:left w:val="single" w:sz="4" w:space="0" w:color="000000"/>
              <w:bottom w:val="single" w:sz="4" w:space="0" w:color="000000"/>
              <w:right w:val="single" w:sz="4" w:space="0" w:color="000000"/>
            </w:tcBorders>
            <w:shd w:val="clear" w:color="auto" w:fill="auto"/>
          </w:tcPr>
          <w:p w:rsidR="00BB7058" w:rsidRDefault="00AF538D">
            <w:pPr>
              <w:jc w:val="both"/>
            </w:pPr>
            <w:r>
              <w:t xml:space="preserve">El </w:t>
            </w:r>
            <w:proofErr w:type="spellStart"/>
            <w:r>
              <w:t>dataset</w:t>
            </w:r>
            <w:proofErr w:type="spellEnd"/>
            <w:r>
              <w:t xml:space="preserve"> de la Estación Meteorológica Automática (EMA) del Observatorio de Huancayo (-12.0401 S, -75.32049 W, 3329 </w:t>
            </w:r>
            <w:proofErr w:type="spellStart"/>
            <w:r>
              <w:t>m.s.n.m.m</w:t>
            </w:r>
            <w:proofErr w:type="spellEnd"/>
            <w:r>
              <w:t xml:space="preserve">.), </w:t>
            </w:r>
            <w:proofErr w:type="spellStart"/>
            <w:r>
              <w:t>Huayao</w:t>
            </w:r>
            <w:proofErr w:type="spellEnd"/>
            <w:r>
              <w:t>, Junín, Perú, es una base de datos con una frecuencia horaria, empleada para el monitoreo y análisis de diversas variables meteorológicas en la superficie terrestre.</w:t>
            </w:r>
          </w:p>
          <w:p w:rsidR="00BB7058" w:rsidRDefault="00AF538D">
            <w:pPr>
              <w:jc w:val="both"/>
            </w:pPr>
            <w:r>
              <w:t>Una EMA es una estación meteorológica en la que se realizan y se transmiten observaciones automáticamente, según la definición de la Organización Meteorológica Mundial (OMM–N° 182). Una EMA tiene como finalidad facilitar datos de lugares de difícil acceso o inhóspitos; facilitar observaciones de estaciones dotadas de personal pero fuera del horario normal de trabajo del personal, por ejemplo, por la noche o los fines de semana; incrementar la seguridad de los datos y normalizar los métodos y horarios de las observaciones en todas las estaciones de la red; reducir los gastos disminuyendo el número de estaciones dotadas de personal; e instalar sensores en emplazamientos meteorológicamente favorables, aparte de los lugares de residencia y de trabajo del observador.</w:t>
            </w:r>
            <w:r>
              <w:t>‬</w:t>
            </w:r>
            <w:r>
              <w:t>‬</w:t>
            </w:r>
            <w:r>
              <w:t>‬</w:t>
            </w:r>
            <w:r>
              <w:t>‬</w:t>
            </w:r>
          </w:p>
          <w:p w:rsidR="00BB7058" w:rsidRDefault="00AF538D">
            <w:pPr>
              <w:jc w:val="both"/>
            </w:pPr>
            <w:r>
              <w:t>La Temperatura del Aire (TT) representa el estado del aire libre que rodea el sitio de medición en una zona lo más extensa posible, y a una altura de entre 1,25 y 2 m por encima del nivel del suelo, se expresa en grados Celsius (</w:t>
            </w:r>
            <w:r>
              <w:rPr>
                <w:rFonts w:ascii="Calibri" w:eastAsia="Calibri" w:hAnsi="Calibri" w:cs="Calibri"/>
              </w:rPr>
              <w:t>°</w:t>
            </w:r>
            <w:r>
              <w:t>C).</w:t>
            </w:r>
          </w:p>
          <w:p w:rsidR="00BB7058" w:rsidRDefault="00AF538D">
            <w:pPr>
              <w:jc w:val="both"/>
            </w:pPr>
            <w:r>
              <w:t xml:space="preserve">La Humedad Relativa (HR) es el porcentaje que representa la cantidad de vapor de agua presente en el aire con respecto a la cantidad máxima que podría contener a una determinada temperatura y presión. Se el coeficiente, entre la tensión de vapor observada y la tensión </w:t>
            </w:r>
            <w:proofErr w:type="spellStart"/>
            <w:r>
              <w:t>saturante</w:t>
            </w:r>
            <w:proofErr w:type="spellEnd"/>
            <w:r>
              <w:t xml:space="preserve"> del vapor con respecto al agua a la misma temperatura y presión, se expresa en porciento (%)</w:t>
            </w:r>
          </w:p>
          <w:p w:rsidR="00BB7058" w:rsidRDefault="00AF538D">
            <w:pPr>
              <w:jc w:val="both"/>
            </w:pPr>
            <w:r>
              <w:t xml:space="preserve">La Presión Atmosférica (PP) sobre una superficie dada es la fuerza por unidad de área que ejerce sobre dicha superficie el peso de la atmósfera que está encima. La presión equivale, al peso de una columna vertical de aire —que se extiende hasta el límite exterior de la atmósfera— sobre una proyección horizontal de la superficie, se expresa en </w:t>
            </w:r>
            <w:proofErr w:type="spellStart"/>
            <w:r>
              <w:t>hectopascales</w:t>
            </w:r>
            <w:proofErr w:type="spellEnd"/>
            <w:r>
              <w:t xml:space="preserve"> (</w:t>
            </w:r>
            <w:proofErr w:type="spellStart"/>
            <w:r>
              <w:t>hPa</w:t>
            </w:r>
            <w:proofErr w:type="spellEnd"/>
            <w:r>
              <w:t>).</w:t>
            </w:r>
          </w:p>
          <w:p w:rsidR="00BB7058" w:rsidRDefault="00AF538D">
            <w:pPr>
              <w:jc w:val="both"/>
            </w:pPr>
            <w:r>
              <w:t xml:space="preserve">La Precipitación (RR) se define como el producto líquido o sólido de la condensación del vapor de agua que cae de las nubes, en forma de lluvia, llovizna, nieve, </w:t>
            </w:r>
            <w:proofErr w:type="spellStart"/>
            <w:r>
              <w:t>cinarra</w:t>
            </w:r>
            <w:proofErr w:type="spellEnd"/>
            <w:r>
              <w:t>, nieve granulada, granizo y gránulos de hielo. La cantidad total de precipitación que llega al suelo en determinado período se expresa en términos de profundidad vertical de agua que cubriría una proyección horizontal de la superficie de la Tierra, se expresa en milímetros (mm).</w:t>
            </w:r>
          </w:p>
          <w:p w:rsidR="00BB7058" w:rsidRDefault="00AF538D">
            <w:pPr>
              <w:jc w:val="both"/>
            </w:pPr>
            <w:r>
              <w:t xml:space="preserve">El viento de superficie es fundamentalmente una magnitud vectorial bidimensional definida por dos variables que representan la dirección (DD) </w:t>
            </w:r>
            <w:r>
              <w:lastRenderedPageBreak/>
              <w:t>y la velocidad (FF). La dirección se expresa en grados (</w:t>
            </w:r>
            <w:r>
              <w:rPr>
                <w:rFonts w:ascii="Calibri" w:eastAsia="Calibri" w:hAnsi="Calibri" w:cs="Calibri"/>
              </w:rPr>
              <w:t>°</w:t>
            </w:r>
            <w:r>
              <w:t>), mientras que la fuerza se expresa comúnmente en metros por segundos (m/s).</w:t>
            </w:r>
          </w:p>
          <w:p w:rsidR="00BB7058" w:rsidRDefault="00AF538D">
            <w:pPr>
              <w:pBdr>
                <w:top w:val="nil"/>
                <w:left w:val="nil"/>
                <w:bottom w:val="nil"/>
                <w:right w:val="nil"/>
                <w:between w:val="nil"/>
              </w:pBdr>
              <w:jc w:val="both"/>
            </w:pPr>
            <w:bookmarkStart w:id="1" w:name="_heading=h.tujyupw911c" w:colFirst="0" w:colLast="0"/>
            <w:bookmarkEnd w:id="1"/>
            <w:r>
              <w:t xml:space="preserve">Este </w:t>
            </w:r>
            <w:proofErr w:type="spellStart"/>
            <w:r>
              <w:t>dataset</w:t>
            </w:r>
            <w:proofErr w:type="spellEnd"/>
            <w:r>
              <w:t xml:space="preserve"> está caracterizado por: FECHA_CORTE, UBIGEO, YY, MM, DY, HH, TT, HR, RR, PP, FF, DD.</w:t>
            </w:r>
          </w:p>
        </w:tc>
      </w:tr>
      <w:tr w:rsidR="00BB7058">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58" w:rsidRDefault="00AF538D">
            <w:pPr>
              <w:rPr>
                <w:b/>
                <w:color w:val="000000"/>
                <w:sz w:val="20"/>
                <w:szCs w:val="20"/>
              </w:rPr>
            </w:pPr>
            <w:r>
              <w:rPr>
                <w:b/>
                <w:color w:val="000000"/>
                <w:sz w:val="20"/>
                <w:szCs w:val="20"/>
              </w:rPr>
              <w:lastRenderedPageBreak/>
              <w:t>Entidad</w:t>
            </w:r>
          </w:p>
        </w:tc>
        <w:tc>
          <w:tcPr>
            <w:tcW w:w="7485" w:type="dxa"/>
            <w:tcBorders>
              <w:top w:val="single" w:sz="4" w:space="0" w:color="000000"/>
              <w:left w:val="single" w:sz="4" w:space="0" w:color="000000"/>
              <w:bottom w:val="single" w:sz="4" w:space="0" w:color="000000"/>
              <w:right w:val="single" w:sz="4" w:space="0" w:color="000000"/>
            </w:tcBorders>
            <w:shd w:val="clear" w:color="auto" w:fill="auto"/>
          </w:tcPr>
          <w:p w:rsidR="00BB7058" w:rsidRDefault="00AF538D">
            <w:r>
              <w:t>Instituto Geofísico del Perú - IGP</w:t>
            </w:r>
          </w:p>
        </w:tc>
      </w:tr>
      <w:tr w:rsidR="00BB7058">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58" w:rsidRDefault="00AF538D">
            <w:pPr>
              <w:rPr>
                <w:b/>
                <w:color w:val="000000"/>
                <w:sz w:val="20"/>
                <w:szCs w:val="20"/>
              </w:rPr>
            </w:pPr>
            <w:r>
              <w:rPr>
                <w:b/>
                <w:color w:val="000000"/>
                <w:sz w:val="20"/>
                <w:szCs w:val="20"/>
              </w:rPr>
              <w:t>Fuente</w:t>
            </w:r>
          </w:p>
        </w:tc>
        <w:tc>
          <w:tcPr>
            <w:tcW w:w="7485" w:type="dxa"/>
            <w:tcBorders>
              <w:top w:val="single" w:sz="4" w:space="0" w:color="000000"/>
              <w:left w:val="single" w:sz="4" w:space="0" w:color="000000"/>
              <w:bottom w:val="single" w:sz="4" w:space="0" w:color="000000"/>
              <w:right w:val="single" w:sz="4" w:space="0" w:color="000000"/>
            </w:tcBorders>
            <w:shd w:val="clear" w:color="auto" w:fill="auto"/>
          </w:tcPr>
          <w:p w:rsidR="00BB7058" w:rsidRDefault="00AF538D">
            <w:pPr>
              <w:spacing w:after="0" w:line="240" w:lineRule="auto"/>
            </w:pPr>
            <w:r>
              <w:t>Laboratorio de Micro Física Atmosférica y Radiación (LAMAR)</w:t>
            </w:r>
          </w:p>
        </w:tc>
      </w:tr>
      <w:tr w:rsidR="00BB7058">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58" w:rsidRDefault="00AF538D">
            <w:pPr>
              <w:rPr>
                <w:b/>
                <w:color w:val="000000"/>
                <w:sz w:val="20"/>
                <w:szCs w:val="20"/>
              </w:rPr>
            </w:pPr>
            <w:r>
              <w:rPr>
                <w:b/>
                <w:color w:val="000000"/>
                <w:sz w:val="20"/>
                <w:szCs w:val="20"/>
              </w:rPr>
              <w:t>Etiquetas</w:t>
            </w:r>
          </w:p>
        </w:tc>
        <w:tc>
          <w:tcPr>
            <w:tcW w:w="7485" w:type="dxa"/>
            <w:tcBorders>
              <w:top w:val="single" w:sz="4" w:space="0" w:color="000000"/>
              <w:left w:val="single" w:sz="4" w:space="0" w:color="000000"/>
              <w:bottom w:val="single" w:sz="4" w:space="0" w:color="000000"/>
              <w:right w:val="single" w:sz="4" w:space="0" w:color="000000"/>
            </w:tcBorders>
            <w:shd w:val="clear" w:color="auto" w:fill="auto"/>
          </w:tcPr>
          <w:p w:rsidR="00BB7058" w:rsidRDefault="00AF538D">
            <w:pPr>
              <w:spacing w:after="0" w:line="240" w:lineRule="auto"/>
            </w:pPr>
            <w:r>
              <w:t>Temperatura, Humedad Relativa, Presi</w:t>
            </w:r>
            <w:r w:rsidR="005520AB">
              <w:t>ón atmosférica, precipitación, d</w:t>
            </w:r>
            <w:r>
              <w:t xml:space="preserve">irección y fuerza del viento, </w:t>
            </w:r>
            <w:proofErr w:type="spellStart"/>
            <w:r>
              <w:t>Huayao</w:t>
            </w:r>
            <w:proofErr w:type="spellEnd"/>
            <w:r>
              <w:t>, Junín.</w:t>
            </w:r>
          </w:p>
        </w:tc>
      </w:tr>
      <w:tr w:rsidR="00BB7058">
        <w:trPr>
          <w:trHeight w:val="237"/>
        </w:trPr>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58" w:rsidRDefault="00AF538D">
            <w:pPr>
              <w:rPr>
                <w:b/>
                <w:color w:val="000000"/>
                <w:sz w:val="20"/>
                <w:szCs w:val="20"/>
              </w:rPr>
            </w:pPr>
            <w:r>
              <w:rPr>
                <w:b/>
                <w:color w:val="000000"/>
                <w:sz w:val="20"/>
                <w:szCs w:val="20"/>
              </w:rPr>
              <w:t>Fecha de creación</w:t>
            </w:r>
          </w:p>
        </w:tc>
        <w:tc>
          <w:tcPr>
            <w:tcW w:w="7485" w:type="dxa"/>
            <w:tcBorders>
              <w:top w:val="single" w:sz="4" w:space="0" w:color="000000"/>
              <w:left w:val="single" w:sz="4" w:space="0" w:color="000000"/>
              <w:bottom w:val="single" w:sz="4" w:space="0" w:color="000000"/>
              <w:right w:val="single" w:sz="4" w:space="0" w:color="000000"/>
            </w:tcBorders>
            <w:shd w:val="clear" w:color="auto" w:fill="auto"/>
          </w:tcPr>
          <w:p w:rsidR="00BB7058" w:rsidRDefault="00AF538D">
            <w:pPr>
              <w:spacing w:after="0" w:line="240" w:lineRule="auto"/>
            </w:pPr>
            <w:r>
              <w:t>2025-05-15</w:t>
            </w:r>
          </w:p>
        </w:tc>
      </w:tr>
      <w:tr w:rsidR="00BB7058">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58" w:rsidRDefault="00AF538D">
            <w:pPr>
              <w:rPr>
                <w:b/>
                <w:color w:val="000000"/>
                <w:sz w:val="20"/>
                <w:szCs w:val="20"/>
              </w:rPr>
            </w:pPr>
            <w:r>
              <w:rPr>
                <w:b/>
                <w:color w:val="000000"/>
                <w:sz w:val="20"/>
                <w:szCs w:val="20"/>
              </w:rPr>
              <w:t>Frecuencia de actualización</w:t>
            </w:r>
          </w:p>
        </w:tc>
        <w:tc>
          <w:tcPr>
            <w:tcW w:w="7485" w:type="dxa"/>
            <w:tcBorders>
              <w:top w:val="single" w:sz="4" w:space="0" w:color="000000"/>
              <w:left w:val="single" w:sz="4" w:space="0" w:color="000000"/>
              <w:bottom w:val="single" w:sz="4" w:space="0" w:color="000000"/>
              <w:right w:val="single" w:sz="4" w:space="0" w:color="000000"/>
            </w:tcBorders>
            <w:shd w:val="clear" w:color="auto" w:fill="auto"/>
          </w:tcPr>
          <w:p w:rsidR="00BB7058" w:rsidRDefault="00AF538D">
            <w:pPr>
              <w:spacing w:after="0" w:line="240" w:lineRule="auto"/>
            </w:pPr>
            <w:r>
              <w:t>Anual</w:t>
            </w:r>
          </w:p>
        </w:tc>
      </w:tr>
      <w:tr w:rsidR="00BB7058">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58" w:rsidRDefault="00AF538D">
            <w:pPr>
              <w:rPr>
                <w:b/>
                <w:color w:val="000000"/>
                <w:sz w:val="20"/>
                <w:szCs w:val="20"/>
              </w:rPr>
            </w:pPr>
            <w:r>
              <w:rPr>
                <w:b/>
                <w:color w:val="000000"/>
                <w:sz w:val="20"/>
                <w:szCs w:val="20"/>
              </w:rPr>
              <w:t>Última actualización</w:t>
            </w:r>
          </w:p>
        </w:tc>
        <w:tc>
          <w:tcPr>
            <w:tcW w:w="7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58" w:rsidRDefault="00AF538D">
            <w:pPr>
              <w:spacing w:after="0" w:line="240" w:lineRule="auto"/>
            </w:pPr>
            <w:r>
              <w:t>2025-05-30</w:t>
            </w:r>
          </w:p>
        </w:tc>
      </w:tr>
      <w:tr w:rsidR="00BB7058">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58" w:rsidRDefault="00AF538D">
            <w:pPr>
              <w:rPr>
                <w:b/>
                <w:color w:val="000000"/>
                <w:sz w:val="20"/>
                <w:szCs w:val="20"/>
              </w:rPr>
            </w:pPr>
            <w:r>
              <w:rPr>
                <w:b/>
                <w:color w:val="000000"/>
                <w:sz w:val="20"/>
                <w:szCs w:val="20"/>
              </w:rPr>
              <w:t>Versión</w:t>
            </w:r>
          </w:p>
        </w:tc>
        <w:tc>
          <w:tcPr>
            <w:tcW w:w="7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58" w:rsidRDefault="00AF538D">
            <w:pPr>
              <w:spacing w:after="0" w:line="240" w:lineRule="auto"/>
            </w:pPr>
            <w:r>
              <w:t>1.0</w:t>
            </w:r>
          </w:p>
        </w:tc>
      </w:tr>
      <w:tr w:rsidR="00BB7058" w:rsidRPr="00493A49">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58" w:rsidRDefault="00AF538D">
            <w:pPr>
              <w:rPr>
                <w:b/>
                <w:color w:val="000000"/>
                <w:sz w:val="20"/>
                <w:szCs w:val="20"/>
              </w:rPr>
            </w:pPr>
            <w:r>
              <w:rPr>
                <w:b/>
                <w:color w:val="000000"/>
                <w:sz w:val="20"/>
                <w:szCs w:val="20"/>
              </w:rPr>
              <w:t>Licencia</w:t>
            </w:r>
          </w:p>
        </w:tc>
        <w:tc>
          <w:tcPr>
            <w:tcW w:w="7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58" w:rsidRPr="00AF538D" w:rsidRDefault="003E4CEE">
            <w:pPr>
              <w:spacing w:after="0" w:line="240" w:lineRule="auto"/>
              <w:rPr>
                <w:lang w:val="en-US"/>
              </w:rPr>
            </w:pPr>
            <w:hyperlink r:id="rId5">
              <w:r w:rsidRPr="006E703D">
                <w:rPr>
                  <w:color w:val="0A77BD"/>
                  <w:u w:val="single"/>
                  <w:lang w:val="en-US"/>
                </w:rPr>
                <w:t>Open Data Commons Attribution License</w:t>
              </w:r>
            </w:hyperlink>
          </w:p>
        </w:tc>
      </w:tr>
      <w:tr w:rsidR="00BB7058">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58" w:rsidRDefault="00AF538D">
            <w:pPr>
              <w:rPr>
                <w:b/>
                <w:color w:val="000000"/>
                <w:sz w:val="20"/>
                <w:szCs w:val="20"/>
              </w:rPr>
            </w:pPr>
            <w:r>
              <w:rPr>
                <w:b/>
                <w:color w:val="000000"/>
                <w:sz w:val="20"/>
                <w:szCs w:val="20"/>
              </w:rPr>
              <w:t>Idioma</w:t>
            </w:r>
          </w:p>
        </w:tc>
        <w:tc>
          <w:tcPr>
            <w:tcW w:w="7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58" w:rsidRDefault="00AF538D">
            <w:pPr>
              <w:spacing w:after="0" w:line="240" w:lineRule="auto"/>
            </w:pPr>
            <w:r>
              <w:t>Español / inglés</w:t>
            </w:r>
          </w:p>
        </w:tc>
      </w:tr>
      <w:tr w:rsidR="00BB7058">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58" w:rsidRDefault="00AF538D">
            <w:pPr>
              <w:rPr>
                <w:b/>
                <w:color w:val="000000"/>
                <w:sz w:val="20"/>
                <w:szCs w:val="20"/>
              </w:rPr>
            </w:pPr>
            <w:r>
              <w:rPr>
                <w:b/>
                <w:color w:val="000000"/>
                <w:sz w:val="20"/>
                <w:szCs w:val="20"/>
              </w:rPr>
              <w:t>Nivel de acceso público</w:t>
            </w:r>
          </w:p>
        </w:tc>
        <w:tc>
          <w:tcPr>
            <w:tcW w:w="7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58" w:rsidRDefault="00AF538D">
            <w:pPr>
              <w:spacing w:after="0" w:line="240" w:lineRule="auto"/>
            </w:pPr>
            <w:r>
              <w:t>Público</w:t>
            </w:r>
          </w:p>
        </w:tc>
      </w:tr>
      <w:tr w:rsidR="00BB7058">
        <w:tc>
          <w:tcPr>
            <w:tcW w:w="2971" w:type="dxa"/>
            <w:tcBorders>
              <w:top w:val="single" w:sz="4" w:space="0" w:color="000000"/>
              <w:left w:val="single" w:sz="4" w:space="0" w:color="000000"/>
              <w:bottom w:val="single" w:sz="4" w:space="0" w:color="000000"/>
              <w:right w:val="single" w:sz="4" w:space="0" w:color="000000"/>
            </w:tcBorders>
            <w:shd w:val="clear" w:color="auto" w:fill="auto"/>
          </w:tcPr>
          <w:p w:rsidR="00BB7058" w:rsidRDefault="00AF538D">
            <w:pPr>
              <w:rPr>
                <w:b/>
                <w:color w:val="000000"/>
                <w:sz w:val="20"/>
                <w:szCs w:val="20"/>
              </w:rPr>
            </w:pPr>
            <w:r>
              <w:rPr>
                <w:b/>
                <w:color w:val="000000"/>
                <w:sz w:val="20"/>
                <w:szCs w:val="20"/>
              </w:rPr>
              <w:t>Tipo de recurso</w:t>
            </w:r>
          </w:p>
        </w:tc>
        <w:tc>
          <w:tcPr>
            <w:tcW w:w="7485" w:type="dxa"/>
            <w:tcBorders>
              <w:top w:val="single" w:sz="4" w:space="0" w:color="000000"/>
              <w:left w:val="single" w:sz="4" w:space="0" w:color="000000"/>
              <w:bottom w:val="single" w:sz="4" w:space="0" w:color="000000"/>
              <w:right w:val="single" w:sz="4" w:space="0" w:color="000000"/>
            </w:tcBorders>
            <w:shd w:val="clear" w:color="auto" w:fill="auto"/>
          </w:tcPr>
          <w:p w:rsidR="00BB7058" w:rsidRDefault="00AF538D">
            <w:pPr>
              <w:spacing w:after="0" w:line="240" w:lineRule="auto"/>
            </w:pPr>
            <w:r>
              <w:t>Dataset</w:t>
            </w:r>
          </w:p>
        </w:tc>
      </w:tr>
      <w:tr w:rsidR="00BB7058">
        <w:trPr>
          <w:trHeight w:val="320"/>
        </w:trPr>
        <w:tc>
          <w:tcPr>
            <w:tcW w:w="2971" w:type="dxa"/>
            <w:tcBorders>
              <w:top w:val="single" w:sz="4" w:space="0" w:color="000000"/>
              <w:left w:val="single" w:sz="4" w:space="0" w:color="000000"/>
              <w:bottom w:val="single" w:sz="4" w:space="0" w:color="000000"/>
              <w:right w:val="single" w:sz="4" w:space="0" w:color="000000"/>
            </w:tcBorders>
            <w:shd w:val="clear" w:color="auto" w:fill="auto"/>
          </w:tcPr>
          <w:p w:rsidR="00BB7058" w:rsidRDefault="00AF538D">
            <w:pPr>
              <w:rPr>
                <w:b/>
              </w:rPr>
            </w:pPr>
            <w:r>
              <w:rPr>
                <w:b/>
              </w:rPr>
              <w:t>Formato</w:t>
            </w:r>
          </w:p>
        </w:tc>
        <w:tc>
          <w:tcPr>
            <w:tcW w:w="7485" w:type="dxa"/>
            <w:tcBorders>
              <w:top w:val="single" w:sz="4" w:space="0" w:color="000000"/>
              <w:left w:val="single" w:sz="4" w:space="0" w:color="000000"/>
              <w:bottom w:val="single" w:sz="4" w:space="0" w:color="000000"/>
              <w:right w:val="single" w:sz="4" w:space="0" w:color="000000"/>
            </w:tcBorders>
            <w:shd w:val="clear" w:color="auto" w:fill="auto"/>
          </w:tcPr>
          <w:p w:rsidR="00BB7058" w:rsidRDefault="00AF538D">
            <w:pPr>
              <w:spacing w:after="0" w:line="240" w:lineRule="auto"/>
            </w:pPr>
            <w:r>
              <w:t>CSV</w:t>
            </w:r>
          </w:p>
        </w:tc>
      </w:tr>
      <w:tr w:rsidR="00BB7058">
        <w:tc>
          <w:tcPr>
            <w:tcW w:w="2971" w:type="dxa"/>
            <w:tcBorders>
              <w:top w:val="single" w:sz="4" w:space="0" w:color="000000"/>
              <w:left w:val="single" w:sz="4" w:space="0" w:color="000000"/>
              <w:bottom w:val="single" w:sz="4" w:space="0" w:color="000000"/>
              <w:right w:val="single" w:sz="4" w:space="0" w:color="000000"/>
            </w:tcBorders>
            <w:shd w:val="clear" w:color="auto" w:fill="auto"/>
          </w:tcPr>
          <w:p w:rsidR="00BB7058" w:rsidRDefault="00AF538D">
            <w:pPr>
              <w:rPr>
                <w:b/>
                <w:color w:val="000000"/>
                <w:sz w:val="20"/>
                <w:szCs w:val="20"/>
              </w:rPr>
            </w:pPr>
            <w:r>
              <w:rPr>
                <w:b/>
                <w:color w:val="000000"/>
                <w:sz w:val="20"/>
                <w:szCs w:val="20"/>
              </w:rPr>
              <w:t xml:space="preserve">Cobertura </w:t>
            </w:r>
          </w:p>
        </w:tc>
        <w:tc>
          <w:tcPr>
            <w:tcW w:w="7485" w:type="dxa"/>
            <w:tcBorders>
              <w:top w:val="single" w:sz="4" w:space="0" w:color="000000"/>
              <w:left w:val="single" w:sz="4" w:space="0" w:color="000000"/>
              <w:bottom w:val="single" w:sz="4" w:space="0" w:color="000000"/>
              <w:right w:val="single" w:sz="4" w:space="0" w:color="000000"/>
            </w:tcBorders>
            <w:shd w:val="clear" w:color="auto" w:fill="auto"/>
          </w:tcPr>
          <w:p w:rsidR="00BB7058" w:rsidRDefault="00AF538D">
            <w:pPr>
              <w:spacing w:after="0" w:line="240" w:lineRule="auto"/>
            </w:pPr>
            <w:r>
              <w:t>Perú, 2018-2024</w:t>
            </w:r>
          </w:p>
        </w:tc>
      </w:tr>
      <w:tr w:rsidR="00BB7058">
        <w:tc>
          <w:tcPr>
            <w:tcW w:w="2971" w:type="dxa"/>
            <w:tcBorders>
              <w:top w:val="single" w:sz="4" w:space="0" w:color="000000"/>
              <w:left w:val="single" w:sz="4" w:space="0" w:color="000000"/>
              <w:bottom w:val="single" w:sz="4" w:space="0" w:color="000000"/>
              <w:right w:val="single" w:sz="4" w:space="0" w:color="000000"/>
            </w:tcBorders>
            <w:shd w:val="clear" w:color="auto" w:fill="auto"/>
          </w:tcPr>
          <w:p w:rsidR="00BB7058" w:rsidRDefault="00AF538D">
            <w:pPr>
              <w:rPr>
                <w:b/>
              </w:rPr>
            </w:pPr>
            <w:r>
              <w:rPr>
                <w:b/>
              </w:rPr>
              <w:t>Correo de contacto</w:t>
            </w:r>
          </w:p>
        </w:tc>
        <w:tc>
          <w:tcPr>
            <w:tcW w:w="7485" w:type="dxa"/>
            <w:tcBorders>
              <w:top w:val="single" w:sz="4" w:space="0" w:color="000000"/>
              <w:left w:val="single" w:sz="4" w:space="0" w:color="000000"/>
              <w:bottom w:val="single" w:sz="4" w:space="0" w:color="000000"/>
              <w:right w:val="single" w:sz="4" w:space="0" w:color="000000"/>
            </w:tcBorders>
            <w:shd w:val="clear" w:color="auto" w:fill="auto"/>
          </w:tcPr>
          <w:p w:rsidR="00BB7058" w:rsidRDefault="00AF538D">
            <w:r>
              <w:t>lamar@igp.gob.pe</w:t>
            </w:r>
          </w:p>
        </w:tc>
      </w:tr>
    </w:tbl>
    <w:p w:rsidR="00BB7058" w:rsidRDefault="00BB7058"/>
    <w:sectPr w:rsidR="00BB7058">
      <w:pgSz w:w="11906" w:h="16838"/>
      <w:pgMar w:top="720" w:right="720" w:bottom="720" w:left="72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058"/>
    <w:rsid w:val="003E4CEE"/>
    <w:rsid w:val="00493A49"/>
    <w:rsid w:val="005520AB"/>
    <w:rsid w:val="00AF538D"/>
    <w:rsid w:val="00BB705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B3CCFE-85CC-4290-BF50-9C1A8DE48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PE" w:eastAsia="es-P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pBdr>
        <w:top w:val="nil"/>
        <w:left w:val="nil"/>
        <w:bottom w:val="nil"/>
        <w:right w:val="nil"/>
        <w:between w:val="nil"/>
      </w:pBdr>
      <w:spacing w:before="480" w:after="120" w:line="240" w:lineRule="auto"/>
      <w:outlineLvl w:val="0"/>
    </w:pPr>
    <w:rPr>
      <w:b/>
      <w:color w:val="000000"/>
      <w:sz w:val="48"/>
      <w:szCs w:val="48"/>
    </w:rPr>
  </w:style>
  <w:style w:type="paragraph" w:styleId="Ttulo2">
    <w:name w:val="heading 2"/>
    <w:basedOn w:val="Normal"/>
    <w:next w:val="Normal"/>
    <w:pPr>
      <w:keepNext/>
      <w:keepLines/>
      <w:pBdr>
        <w:top w:val="nil"/>
        <w:left w:val="nil"/>
        <w:bottom w:val="nil"/>
        <w:right w:val="nil"/>
        <w:between w:val="nil"/>
      </w:pBdr>
      <w:spacing w:before="360" w:after="80" w:line="240" w:lineRule="auto"/>
      <w:outlineLvl w:val="1"/>
    </w:pPr>
    <w:rPr>
      <w:b/>
      <w:color w:val="000000"/>
      <w:sz w:val="36"/>
      <w:szCs w:val="36"/>
    </w:rPr>
  </w:style>
  <w:style w:type="paragraph" w:styleId="Ttulo3">
    <w:name w:val="heading 3"/>
    <w:basedOn w:val="Normal"/>
    <w:next w:val="Normal"/>
    <w:pPr>
      <w:keepNext/>
      <w:keepLines/>
      <w:pBdr>
        <w:top w:val="nil"/>
        <w:left w:val="nil"/>
        <w:bottom w:val="nil"/>
        <w:right w:val="nil"/>
        <w:between w:val="nil"/>
      </w:pBdr>
      <w:spacing w:before="280" w:after="80" w:line="240" w:lineRule="auto"/>
      <w:outlineLvl w:val="2"/>
    </w:pPr>
    <w:rPr>
      <w:b/>
      <w:color w:val="000000"/>
      <w:sz w:val="28"/>
      <w:szCs w:val="28"/>
    </w:rPr>
  </w:style>
  <w:style w:type="paragraph" w:styleId="Ttulo4">
    <w:name w:val="heading 4"/>
    <w:basedOn w:val="Normal"/>
    <w:next w:val="Normal"/>
    <w:pPr>
      <w:keepNext/>
      <w:keepLines/>
      <w:pBdr>
        <w:top w:val="nil"/>
        <w:left w:val="nil"/>
        <w:bottom w:val="nil"/>
        <w:right w:val="nil"/>
        <w:between w:val="nil"/>
      </w:pBdr>
      <w:spacing w:before="240" w:after="40" w:line="240" w:lineRule="auto"/>
      <w:outlineLvl w:val="3"/>
    </w:pPr>
    <w:rPr>
      <w:b/>
      <w:color w:val="000000"/>
      <w:sz w:val="24"/>
      <w:szCs w:val="24"/>
    </w:rPr>
  </w:style>
  <w:style w:type="paragraph" w:styleId="Ttulo5">
    <w:name w:val="heading 5"/>
    <w:basedOn w:val="Normal"/>
    <w:next w:val="Normal"/>
    <w:pPr>
      <w:keepNext/>
      <w:keepLines/>
      <w:pBdr>
        <w:top w:val="nil"/>
        <w:left w:val="nil"/>
        <w:bottom w:val="nil"/>
        <w:right w:val="nil"/>
        <w:between w:val="nil"/>
      </w:pBdr>
      <w:spacing w:before="220" w:after="40" w:line="240" w:lineRule="auto"/>
      <w:outlineLvl w:val="4"/>
    </w:pPr>
    <w:rPr>
      <w:b/>
      <w:color w:val="000000"/>
    </w:rPr>
  </w:style>
  <w:style w:type="paragraph" w:styleId="Ttulo6">
    <w:name w:val="heading 6"/>
    <w:basedOn w:val="Normal"/>
    <w:next w:val="Normal"/>
    <w:pPr>
      <w:keepNext/>
      <w:keepLines/>
      <w:pBdr>
        <w:top w:val="nil"/>
        <w:left w:val="nil"/>
        <w:bottom w:val="nil"/>
        <w:right w:val="nil"/>
        <w:between w:val="nil"/>
      </w:pBdr>
      <w:spacing w:before="200" w:after="40" w:line="240" w:lineRule="auto"/>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pBdr>
        <w:top w:val="nil"/>
        <w:left w:val="nil"/>
        <w:bottom w:val="nil"/>
        <w:right w:val="nil"/>
        <w:between w:val="nil"/>
      </w:pBdr>
      <w:spacing w:before="480" w:after="120" w:line="240" w:lineRule="auto"/>
    </w:pPr>
    <w:rPr>
      <w:b/>
      <w:color w:val="000000"/>
      <w:sz w:val="72"/>
      <w:szCs w:val="72"/>
    </w:rPr>
  </w:style>
  <w:style w:type="paragraph" w:styleId="Subttulo">
    <w:name w:val="Subtitle"/>
    <w:basedOn w:val="Normal"/>
    <w:next w:val="Normal"/>
    <w:pPr>
      <w:keepNext/>
      <w:keepLines/>
      <w:pBdr>
        <w:top w:val="nil"/>
        <w:left w:val="nil"/>
        <w:bottom w:val="nil"/>
        <w:right w:val="nil"/>
        <w:between w:val="nil"/>
      </w:pBdr>
      <w:spacing w:before="360" w:after="80" w:line="240" w:lineRule="auto"/>
    </w:pPr>
    <w:rPr>
      <w:rFonts w:ascii="Georgia" w:eastAsia="Georgia" w:hAnsi="Georgia" w:cs="Georgia"/>
      <w:i/>
      <w:color w:val="666666"/>
      <w:sz w:val="48"/>
      <w:szCs w:val="48"/>
    </w:rPr>
  </w:style>
  <w:style w:type="table" w:customStyle="1" w:styleId="a">
    <w:basedOn w:val="Tablanormal"/>
    <w:tblPr>
      <w:tblStyleRowBandSize w:val="1"/>
      <w:tblStyleColBandSize w:val="1"/>
      <w:tblInd w:w="0" w:type="dxa"/>
      <w:tblCellMar>
        <w:top w:w="0" w:type="dxa"/>
        <w:left w:w="108" w:type="dxa"/>
        <w:bottom w:w="0" w:type="dxa"/>
        <w:right w:w="108" w:type="dxa"/>
      </w:tblCellMar>
    </w:tblPr>
  </w:style>
  <w:style w:type="table" w:customStyle="1" w:styleId="a0">
    <w:basedOn w:val="Tabla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opendefinition.org/licenses/odc-b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we28Kt9m8ZsxwonWoiU3FueufA==">CgMxLjAyDWgudHVqeXVwdzkxMWM4AHIhMXppVjJHSWxocUp6bHZUWVJSN1R6ZzZlMFhIR0VRSG1P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612</Words>
  <Characters>3368</Characters>
  <Application>Microsoft Office Word</Application>
  <DocSecurity>0</DocSecurity>
  <Lines>28</Lines>
  <Paragraphs>7</Paragraphs>
  <ScaleCrop>false</ScaleCrop>
  <Company/>
  <LinksUpToDate>false</LinksUpToDate>
  <CharactersWithSpaces>3973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Cuenta Microsoft</cp:lastModifiedBy>
  <cp:revision>5</cp:revision>
  <dcterms:created xsi:type="dcterms:W3CDTF">2025-05-15T14:49:00Z</dcterms:created>
  <dcterms:modified xsi:type="dcterms:W3CDTF">2025-05-31T00:47:00Z</dcterms:modified>
</cp:coreProperties>
</file>