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DD30EA" w:rsidRDefault="009F0CA5" w:rsidP="00717CED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14:paraId="6F6FA515" w14:textId="291CF929" w:rsidR="009F0CA5" w:rsidRPr="00DD30EA" w:rsidRDefault="009F0CA5">
      <w:pPr>
        <w:rPr>
          <w:rFonts w:ascii="Poppins" w:hAnsi="Poppins" w:cs="Poppins"/>
          <w:sz w:val="20"/>
          <w:szCs w:val="20"/>
        </w:rPr>
      </w:pPr>
    </w:p>
    <w:p w14:paraId="77E11A95" w14:textId="2FFA336C" w:rsidR="00504D0A" w:rsidRPr="00DD30EA" w:rsidRDefault="009F0CA5" w:rsidP="3C5AA01A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="00530EFA" w:rsidRPr="00DD30EA">
        <w:rPr>
          <w:rFonts w:ascii="Poppins" w:hAnsi="Poppins" w:cs="Poppins"/>
          <w:sz w:val="20"/>
          <w:szCs w:val="20"/>
        </w:rPr>
        <w:t>Dataset</w:t>
      </w:r>
      <w:proofErr w:type="spellEnd"/>
      <w:r w:rsidR="00EB1A82" w:rsidRPr="00DD30EA">
        <w:rPr>
          <w:rFonts w:ascii="Poppins" w:hAnsi="Poppins" w:cs="Poppins"/>
          <w:sz w:val="20"/>
          <w:szCs w:val="20"/>
        </w:rPr>
        <w:t>:</w:t>
      </w:r>
      <w:r w:rsidR="00912D17" w:rsidRPr="00DD30EA">
        <w:rPr>
          <w:rFonts w:ascii="Poppins" w:hAnsi="Poppins" w:cs="Poppins"/>
          <w:sz w:val="20"/>
          <w:szCs w:val="20"/>
        </w:rPr>
        <w:t xml:space="preserve"> </w:t>
      </w:r>
      <w:r w:rsidR="00DD30EA" w:rsidRPr="00DD30EA">
        <w:rPr>
          <w:rFonts w:ascii="Poppins" w:hAnsi="Poppins" w:cs="Poppins"/>
          <w:sz w:val="20"/>
          <w:szCs w:val="20"/>
        </w:rPr>
        <w:t>Instalaciones de Distribución de Gas Natural</w:t>
      </w:r>
      <w:r w:rsidR="000567A2" w:rsidRPr="00DD30EA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D30EA" w14:paraId="30B6BD9E" w14:textId="77777777" w:rsidTr="520BC64C">
        <w:tc>
          <w:tcPr>
            <w:tcW w:w="2972" w:type="dxa"/>
            <w:vAlign w:val="center"/>
          </w:tcPr>
          <w:p w14:paraId="2E49C04D" w14:textId="273124D6" w:rsidR="00504D0A" w:rsidRPr="00DD30EA" w:rsidRDefault="00504D0A" w:rsidP="3C5AA01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8783F55" w:rsidR="00504D0A" w:rsidRPr="00DD30EA" w:rsidRDefault="00DD30EA" w:rsidP="3C5AA01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Instalaciones de Distribución de Gas Natural</w:t>
            </w:r>
            <w:r w:rsidR="00336174" w:rsidRPr="00DD30EA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="00504D0A" w:rsidRPr="00DD30EA" w14:paraId="1E2BA938" w14:textId="77777777" w:rsidTr="520BC64C">
        <w:tc>
          <w:tcPr>
            <w:tcW w:w="2972" w:type="dxa"/>
            <w:vAlign w:val="center"/>
          </w:tcPr>
          <w:p w14:paraId="17CCE901" w14:textId="235EEF5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ACF0E3E" w:rsidR="00002C3E" w:rsidRPr="00DD30EA" w:rsidRDefault="00A7270F" w:rsidP="68E3446A">
            <w:pPr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>
                <w:rPr>
                  <w:rStyle w:val="Hipervnculo"/>
                </w:rPr>
                <w:t>Instalaciones de Distribución de Gas Natural- [Organismo Supervisor de la Inversión en Energía y Minería - OSINERGMIN] | Plataforma Nacional de Datos Abiertos</w:t>
              </w:r>
            </w:hyperlink>
          </w:p>
        </w:tc>
      </w:tr>
      <w:tr w:rsidR="00504D0A" w:rsidRPr="00DD30EA" w14:paraId="2EC58AEF" w14:textId="77777777" w:rsidTr="520BC64C">
        <w:tc>
          <w:tcPr>
            <w:tcW w:w="2972" w:type="dxa"/>
            <w:vAlign w:val="center"/>
          </w:tcPr>
          <w:p w14:paraId="24E79BF0" w14:textId="0C1004DE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A8542CB" w14:textId="4DB36C18" w:rsidR="004474D3" w:rsidRPr="00DD30EA" w:rsidRDefault="00DD30EA" w:rsidP="53A8B84B">
            <w:pPr>
              <w:spacing w:before="240" w:after="240"/>
              <w:jc w:val="both"/>
              <w:rPr>
                <w:rFonts w:ascii="Poppins" w:eastAsia="Arial" w:hAnsi="Poppins" w:cs="Poppins"/>
                <w:sz w:val="20"/>
                <w:szCs w:val="20"/>
              </w:rPr>
            </w:pPr>
            <w:r w:rsidRPr="00DD30EA">
              <w:rPr>
                <w:rFonts w:ascii="Poppins" w:eastAsia="Arial" w:hAnsi="Poppins" w:cs="Poppins"/>
                <w:sz w:val="20"/>
                <w:szCs w:val="20"/>
              </w:rPr>
              <w:t>Este conjunto de datos contiene la información geoespacial y técnica de los tramos que componen la red de distribución de gas natural a nivel nacional. La información es reportada periódicamente por las empresas concesion</w:t>
            </w:r>
            <w:bookmarkStart w:id="0" w:name="_GoBack"/>
            <w:bookmarkEnd w:id="0"/>
            <w:r w:rsidRPr="00DD30EA">
              <w:rPr>
                <w:rFonts w:ascii="Poppins" w:eastAsia="Arial" w:hAnsi="Poppins" w:cs="Poppins"/>
                <w:sz w:val="20"/>
                <w:szCs w:val="20"/>
              </w:rPr>
              <w:t>arias y consolidada por el Organismo Supervisor de la Inversión en Energía y Minería (OSINERGMIN). Cada fila del archivo representa un segmento único de la red</w:t>
            </w:r>
            <w:r w:rsidR="00026688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  <w:p w14:paraId="2A255616" w14:textId="77777777" w:rsidR="00DD30EA" w:rsidRPr="00DD30EA" w:rsidRDefault="00DD30EA" w:rsidP="00DD30E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(Descripción de Columnas)</w:t>
            </w:r>
          </w:p>
          <w:p w14:paraId="75644E40" w14:textId="77777777" w:rsidR="00DD30EA" w:rsidRPr="00DD30EA" w:rsidRDefault="00DD30EA" w:rsidP="00DD30E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 principales:</w:t>
            </w:r>
          </w:p>
          <w:p w14:paraId="241AD94C" w14:textId="77777777" w:rsidR="00DD30EA" w:rsidRPr="00DD30EA" w:rsidRDefault="00DD30EA" w:rsidP="00DD30EA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Identificación y Gestión:</w:t>
            </w:r>
          </w:p>
          <w:p w14:paraId="350F0FC1" w14:textId="1A5A4FB7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de la fuente original (formato </w:t>
            </w:r>
            <w:r w:rsidR="00DD30EA"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1DDC1C1B" w14:textId="171FD5C1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</w:t>
            </w:r>
            <w:r w:rsidR="00DD30EA"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_</w:t>
            </w: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EMISION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Fecha de generación del reporte, indicando la vigencia del mismo.</w:t>
            </w:r>
          </w:p>
          <w:p w14:paraId="202F0C1B" w14:textId="31D74395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Código único que identifica de manera inequívoca cada tramo de la red.</w:t>
            </w:r>
          </w:p>
          <w:p w14:paraId="47F0288C" w14:textId="77777777" w:rsidR="00DD30EA" w:rsidRPr="00DD30EA" w:rsidRDefault="00DD30EA" w:rsidP="00DD30EA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Características Técnicas del Tramo:</w:t>
            </w:r>
          </w:p>
          <w:p w14:paraId="63505A4D" w14:textId="5F0181CE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TIPOGAS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Clasificación del ducto (ej. ‘GASODUCTO’, ‘TUBERIA’).</w:t>
            </w:r>
          </w:p>
          <w:p w14:paraId="1CA514D7" w14:textId="1B8CFF41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FECHAPUESTA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del tramo.</w:t>
            </w:r>
          </w:p>
          <w:p w14:paraId="041D3FEB" w14:textId="4DF9C8A3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ESTADO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Condición operativa actual del tramo (ej. ‘EXISTENTE’, ‘PROYECTADO’, ‘BAJA’).</w:t>
            </w:r>
          </w:p>
          <w:p w14:paraId="7129DC9B" w14:textId="635AAD23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PROFUNDIDAD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Profundidad de la instalación del tramo, expresada en metros.</w:t>
            </w:r>
          </w:p>
          <w:p w14:paraId="6E011606" w14:textId="1AC021D9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CODTRAMANT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anterior (tramo padre), utilizado para análisis de conectividad de la red.</w:t>
            </w:r>
          </w:p>
          <w:p w14:paraId="3AB6DDCA" w14:textId="48B1394C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MATERIAL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Material principal de construcción del tramo (ej. ‘ACERO’, ‘POLIETILENO’).</w:t>
            </w:r>
          </w:p>
          <w:p w14:paraId="146760BB" w14:textId="5F9114A8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LONGITUD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Longitud del tramo, expresada en metros.</w:t>
            </w:r>
          </w:p>
          <w:p w14:paraId="5CF6B14F" w14:textId="33F8757E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PRESION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Nivel de presión del gas en el tramo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, expresado en Bar.</w:t>
            </w:r>
          </w:p>
          <w:p w14:paraId="7EFD198F" w14:textId="6C5EC435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DIAMETRO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Diámetro nominal del tramo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, expresado en </w:t>
            </w:r>
            <w:proofErr w:type="spellStart"/>
            <w:r>
              <w:rPr>
                <w:rFonts w:ascii="Poppins" w:hAnsi="Poppins" w:cs="Poppins"/>
                <w:color w:val="373D49"/>
                <w:sz w:val="20"/>
                <w:szCs w:val="20"/>
              </w:rPr>
              <w:t>mm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  <w:proofErr w:type="spellEnd"/>
          </w:p>
          <w:p w14:paraId="4ECA7870" w14:textId="77777777" w:rsidR="00DD30EA" w:rsidRPr="00DD30EA" w:rsidRDefault="00DD30EA" w:rsidP="00DD30EA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Información Administrativa y Geoespacial:</w:t>
            </w:r>
          </w:p>
          <w:p w14:paraId="487B3355" w14:textId="1B072FB9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EMPRESA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Nombre de la empresa concesionaria propietaria o responsable del tramo.</w:t>
            </w:r>
          </w:p>
          <w:p w14:paraId="396D2B21" w14:textId="17200BD7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Indica la entidad propietaria del activo (ej. ‘DISTRIBUIDORA’, ‘FISE’).</w:t>
            </w:r>
          </w:p>
          <w:p w14:paraId="2C1C765E" w14:textId="4ECFD199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CALIFICACION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Clasificación de la red a la que pertenece el tramo (ej. ‘RED PRINCIPAL’, ‘OTRAS REDES’).</w:t>
            </w:r>
          </w:p>
          <w:p w14:paraId="5AF5C4C5" w14:textId="13A3550A" w:rsidR="00DD30EA" w:rsidRPr="00DD30EA" w:rsidRDefault="00530EFA" w:rsidP="00DD30EA">
            <w:pPr>
              <w:pStyle w:val="has-line-data"/>
              <w:numPr>
                <w:ilvl w:val="1"/>
                <w:numId w:val="10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lastRenderedPageBreak/>
              <w:t>GEOMETRIA</w:t>
            </w:r>
            <w:r w:rsidR="00DD30EA"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_</w:t>
            </w:r>
            <w:r w:rsidRPr="00DD30EA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WKT</w:t>
            </w:r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: Representación geoespacial de la línea del tramo en formato de texto conocido (</w:t>
            </w:r>
            <w:proofErr w:type="spellStart"/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Well-Known</w:t>
            </w:r>
            <w:proofErr w:type="spellEnd"/>
            <w:r w:rsidR="00DD30EA" w:rsidRPr="00DD30EA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 Text - WKT).</w:t>
            </w:r>
          </w:p>
          <w:p w14:paraId="1B83AF0D" w14:textId="77777777" w:rsidR="00DD30EA" w:rsidRPr="00DD30EA" w:rsidRDefault="00DD30EA" w:rsidP="00530EFA">
            <w:pPr>
              <w:pStyle w:val="has-line-data"/>
              <w:shd w:val="clear" w:color="auto" w:fill="FFFFFF"/>
              <w:spacing w:before="0" w:beforeAutospacing="0" w:after="0" w:afterAutospacing="0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14:paraId="25DF5825" w14:textId="77777777" w:rsidR="00DD30EA" w:rsidRPr="00DD30EA" w:rsidRDefault="00DD30EA" w:rsidP="00DD30EA">
            <w:pPr>
              <w:pStyle w:val="has-line-data"/>
              <w:numPr>
                <w:ilvl w:val="0"/>
                <w:numId w:val="11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14:paraId="044555CB" w14:textId="3C9FE5CB" w:rsidR="00DD30EA" w:rsidRPr="00DD30EA" w:rsidRDefault="00DD30EA" w:rsidP="00DD30EA">
            <w:pPr>
              <w:pStyle w:val="has-line-data"/>
              <w:numPr>
                <w:ilvl w:val="0"/>
                <w:numId w:val="11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C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oma (</w:t>
            </w:r>
            <w:r>
              <w:rPr>
                <w:rFonts w:ascii="Poppins" w:hAnsi="Poppins" w:cs="Poppins"/>
                <w:color w:val="373D49"/>
                <w:sz w:val="20"/>
                <w:szCs w:val="20"/>
              </w:rPr>
              <w:t>,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14:paraId="72F8F1C2" w14:textId="5D3F7DB4" w:rsidR="00DD30EA" w:rsidRPr="00DD30EA" w:rsidRDefault="00DD30EA" w:rsidP="00DD30EA">
            <w:pPr>
              <w:pStyle w:val="has-line-data"/>
              <w:numPr>
                <w:ilvl w:val="0"/>
                <w:numId w:val="11"/>
              </w:numPr>
              <w:shd w:val="clear" w:color="auto" w:fill="FFFFFF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DD30E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DD30EA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14:paraId="3B4938DD" w14:textId="7A167FF3" w:rsidR="00CD25C2" w:rsidRPr="00530EFA" w:rsidRDefault="00530EFA" w:rsidP="00530EFA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 xml:space="preserve">Fuente y </w:t>
            </w:r>
            <w:r w:rsidR="116D3EB5" w:rsidRPr="00530EFA">
              <w:rPr>
                <w:rFonts w:ascii="Poppins" w:eastAsia="Arial" w:hAnsi="Poppins" w:cs="Poppins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53FE0975" w:rsidR="00CD25C2" w:rsidRPr="00DD30EA" w:rsidRDefault="00530EFA" w:rsidP="53A8B84B">
            <w:pPr>
              <w:spacing w:before="240" w:after="240"/>
              <w:jc w:val="both"/>
              <w:rPr>
                <w:rFonts w:ascii="Poppins" w:eastAsia="Arial" w:hAnsi="Poppins" w:cs="Poppins"/>
                <w:sz w:val="20"/>
                <w:szCs w:val="20"/>
              </w:rPr>
            </w:pPr>
            <w:r w:rsidRPr="00530EFA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</w:t>
            </w:r>
            <w:r w:rsidRPr="00530EFA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="116D3EB5" w:rsidRPr="00530EFA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</w:tc>
      </w:tr>
      <w:tr w:rsidR="00504D0A" w:rsidRPr="00DD30EA" w14:paraId="283C9B4F" w14:textId="77777777" w:rsidTr="520BC64C">
        <w:tc>
          <w:tcPr>
            <w:tcW w:w="2972" w:type="dxa"/>
            <w:vAlign w:val="center"/>
          </w:tcPr>
          <w:p w14:paraId="51D63ABD" w14:textId="5D977796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81F3A19" w:rsidR="00504D0A" w:rsidRPr="00DD30EA" w:rsidRDefault="00FC4798" w:rsidP="00AE2608">
            <w:pPr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="00AE2608" w:rsidRPr="00DD30EA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="00B738A8" w:rsidRPr="00DD30EA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="00504D0A" w:rsidRPr="00DD30EA" w14:paraId="1598F2E3" w14:textId="77777777" w:rsidTr="520BC64C">
        <w:tc>
          <w:tcPr>
            <w:tcW w:w="2972" w:type="dxa"/>
            <w:vAlign w:val="center"/>
          </w:tcPr>
          <w:p w14:paraId="4723B4D8" w14:textId="16D3A583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DD30EA" w:rsidRDefault="00AE2608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="00504D0A" w:rsidRPr="00DD30EA" w14:paraId="28E3066C" w14:textId="77777777" w:rsidTr="520BC64C">
        <w:tc>
          <w:tcPr>
            <w:tcW w:w="2972" w:type="dxa"/>
            <w:vAlign w:val="center"/>
          </w:tcPr>
          <w:p w14:paraId="316C6F46" w14:textId="50815B45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0D8822C" w:rsidR="00504D0A" w:rsidRPr="00DD30EA" w:rsidRDefault="00336174" w:rsidP="42898426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Gasoducto</w:t>
            </w:r>
            <w:r w:rsidR="00715940" w:rsidRPr="00DD30EA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Gas Natural</w:t>
            </w:r>
            <w:r w:rsidR="00530EFA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r w:rsidR="00530EFA" w:rsidRPr="00530EFA">
              <w:rPr>
                <w:rFonts w:ascii="Poppins" w:hAnsi="Poppins" w:cs="Poppins"/>
                <w:sz w:val="20"/>
                <w:szCs w:val="20"/>
              </w:rPr>
              <w:t>Distribución de Gas</w:t>
            </w:r>
            <w:r w:rsidR="00A7270F">
              <w:rPr>
                <w:rFonts w:ascii="Poppins" w:hAnsi="Poppins" w:cs="Poppins"/>
                <w:sz w:val="20"/>
                <w:szCs w:val="20"/>
              </w:rPr>
              <w:t xml:space="preserve"> Natural</w:t>
            </w:r>
          </w:p>
        </w:tc>
      </w:tr>
      <w:tr w:rsidR="00504D0A" w:rsidRPr="00DD30EA" w14:paraId="43175C4D" w14:textId="77777777" w:rsidTr="520BC64C">
        <w:tc>
          <w:tcPr>
            <w:tcW w:w="2972" w:type="dxa"/>
            <w:vAlign w:val="center"/>
          </w:tcPr>
          <w:p w14:paraId="12BAD6F9" w14:textId="0D974740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CBDCBBD" w:rsidR="00504D0A" w:rsidRPr="00DD30EA" w:rsidRDefault="00AE2608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CD00F6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06-17</w:t>
            </w:r>
          </w:p>
        </w:tc>
      </w:tr>
      <w:tr w:rsidR="00504D0A" w:rsidRPr="00DD30EA" w14:paraId="011842A8" w14:textId="77777777" w:rsidTr="520BC64C">
        <w:tc>
          <w:tcPr>
            <w:tcW w:w="2972" w:type="dxa"/>
            <w:vAlign w:val="center"/>
          </w:tcPr>
          <w:p w14:paraId="35EB519A" w14:textId="7F952C47" w:rsidR="00504D0A" w:rsidRPr="00DD30EA" w:rsidRDefault="00504D0A" w:rsidP="00504D0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5425299" w:rsidR="00504D0A" w:rsidRPr="00DD30EA" w:rsidRDefault="00530EFA" w:rsidP="00504D0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Mensual</w:t>
            </w:r>
          </w:p>
        </w:tc>
      </w:tr>
      <w:tr w:rsidR="00CD25C2" w:rsidRPr="00DD30EA" w14:paraId="2C94159F" w14:textId="77777777" w:rsidTr="520BC64C">
        <w:tc>
          <w:tcPr>
            <w:tcW w:w="2972" w:type="dxa"/>
            <w:vAlign w:val="center"/>
          </w:tcPr>
          <w:p w14:paraId="4C1DE0E1" w14:textId="18D08B51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2BF0965" w:rsidR="00CD25C2" w:rsidRPr="00DD30EA" w:rsidRDefault="38DDBF8D" w:rsidP="54B66DB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659AD9E5" w:rsidRPr="00DD30EA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="5FC6A4B3" w:rsidRPr="00DD30EA">
              <w:rPr>
                <w:rFonts w:ascii="Poppins" w:hAnsi="Poppins" w:cs="Poppins"/>
                <w:sz w:val="20"/>
                <w:szCs w:val="20"/>
              </w:rPr>
              <w:t>05-</w:t>
            </w:r>
            <w:r w:rsidR="00DD30EA" w:rsidRPr="00DD30EA">
              <w:rPr>
                <w:rFonts w:ascii="Poppins" w:hAnsi="Poppins" w:cs="Poppins"/>
                <w:sz w:val="20"/>
                <w:szCs w:val="20"/>
              </w:rPr>
              <w:t>31</w:t>
            </w:r>
          </w:p>
        </w:tc>
      </w:tr>
      <w:tr w:rsidR="00CD25C2" w:rsidRPr="00DD30EA" w14:paraId="3F74AE2E" w14:textId="77777777" w:rsidTr="520BC64C">
        <w:tc>
          <w:tcPr>
            <w:tcW w:w="2972" w:type="dxa"/>
            <w:vAlign w:val="center"/>
          </w:tcPr>
          <w:p w14:paraId="59316C5D" w14:textId="137D6F1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DD30EA" w:rsidRDefault="00AE2608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="00CD25C2" w:rsidRPr="00DD30EA" w14:paraId="7EBCCDEC" w14:textId="77777777" w:rsidTr="520BC64C">
        <w:tc>
          <w:tcPr>
            <w:tcW w:w="2972" w:type="dxa"/>
            <w:vAlign w:val="center"/>
          </w:tcPr>
          <w:p w14:paraId="083F45C8" w14:textId="4E1B252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D30EA" w:rsidRDefault="00A7270F" w:rsidP="00CD25C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r:id="rId9" w:history="1">
              <w:r w:rsidR="00CD25C2" w:rsidRPr="00DD30EA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DD30EA" w14:paraId="50813B98" w14:textId="77777777" w:rsidTr="520BC64C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DD30EA" w14:paraId="1117E997" w14:textId="77777777" w:rsidTr="520BC64C">
        <w:tc>
          <w:tcPr>
            <w:tcW w:w="2972" w:type="dxa"/>
            <w:vAlign w:val="center"/>
          </w:tcPr>
          <w:p w14:paraId="1CADEF4B" w14:textId="184AA53E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DD30EA" w14:paraId="7E0D1F8D" w14:textId="77777777" w:rsidTr="520BC64C">
        <w:tc>
          <w:tcPr>
            <w:tcW w:w="2972" w:type="dxa"/>
          </w:tcPr>
          <w:p w14:paraId="44582A03" w14:textId="175F5ABC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</w:p>
        </w:tc>
      </w:tr>
      <w:tr w:rsidR="00CD25C2" w:rsidRPr="00DD30EA" w14:paraId="002B4018" w14:textId="77777777" w:rsidTr="520BC64C">
        <w:tc>
          <w:tcPr>
            <w:tcW w:w="2972" w:type="dxa"/>
          </w:tcPr>
          <w:p w14:paraId="7C20EDCE" w14:textId="0318ABEF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="00CD25C2" w:rsidRPr="00DD30EA" w14:paraId="7A5EEEA5" w14:textId="77777777" w:rsidTr="520BC64C">
        <w:tc>
          <w:tcPr>
            <w:tcW w:w="2972" w:type="dxa"/>
          </w:tcPr>
          <w:p w14:paraId="14C8EAEF" w14:textId="0A3D3873" w:rsidR="00CD25C2" w:rsidRPr="00DD30EA" w:rsidRDefault="00CD25C2" w:rsidP="00CD25C2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7EF9990" w:rsidR="00CD25C2" w:rsidRPr="00DD30EA" w:rsidRDefault="00AE2608" w:rsidP="7DF4B0F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="00337EF5" w:rsidRPr="00DD30EA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</w:tr>
      <w:tr w:rsidR="00CD25C2" w:rsidRPr="00DD30EA" w14:paraId="494AA20C" w14:textId="77777777" w:rsidTr="520BC64C">
        <w:tc>
          <w:tcPr>
            <w:tcW w:w="2972" w:type="dxa"/>
          </w:tcPr>
          <w:p w14:paraId="6E758B40" w14:textId="2431496E" w:rsidR="00CD25C2" w:rsidRPr="00DD30EA" w:rsidRDefault="00CD25C2" w:rsidP="00CD25C2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F13E6AD" w:rsidR="00CD25C2" w:rsidRPr="00DD30EA" w:rsidRDefault="00DD30EA" w:rsidP="00CD25C2">
            <w:pPr>
              <w:rPr>
                <w:rFonts w:ascii="Poppins" w:hAnsi="Poppins" w:cs="Poppins"/>
                <w:sz w:val="20"/>
                <w:szCs w:val="20"/>
              </w:rPr>
            </w:pPr>
            <w:hyperlink r:id="rId10" w:history="1">
              <w:r w:rsidRP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14:paraId="0E6576BC" w14:textId="2476AD3F" w:rsidR="009F0CA5" w:rsidRPr="00DD30EA" w:rsidRDefault="009F0CA5" w:rsidP="00DA6578">
      <w:pPr>
        <w:rPr>
          <w:rFonts w:ascii="Poppins" w:hAnsi="Poppins" w:cs="Poppins"/>
          <w:sz w:val="20"/>
          <w:szCs w:val="20"/>
        </w:rPr>
      </w:pPr>
    </w:p>
    <w:sectPr w:rsidR="009F0CA5" w:rsidRPr="00DD30E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567A2"/>
    <w:rsid w:val="000E6384"/>
    <w:rsid w:val="00116DF8"/>
    <w:rsid w:val="00122B38"/>
    <w:rsid w:val="00182C03"/>
    <w:rsid w:val="001A6568"/>
    <w:rsid w:val="001E5E58"/>
    <w:rsid w:val="00200191"/>
    <w:rsid w:val="0020585A"/>
    <w:rsid w:val="002603FB"/>
    <w:rsid w:val="00297BE5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7270F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B1A82"/>
    <w:rsid w:val="00EB23EF"/>
    <w:rsid w:val="00ED2A96"/>
    <w:rsid w:val="00F1229D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666119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customStyle="1" w:styleId="has-line-data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gob.pe/dataset/instalaciones-de-distribuci%C3%B3n-de-gas-natural-organismo-supervisor-de-la-inversi%C3%B3n-en-energ%C3%AD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r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purl.org/dc/terms/"/>
    <ds:schemaRef ds:uri="778c2449-8873-4133-9a42-f88028819483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3fe1c5-bc10-42de-808f-80506cdae8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53C79-21FE-44CF-8FAD-3A98372A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51</cp:revision>
  <dcterms:created xsi:type="dcterms:W3CDTF">2024-05-20T22:29:00Z</dcterms:created>
  <dcterms:modified xsi:type="dcterms:W3CDTF">2025-06-17T19:32:00Z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