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DD30EA" w:rsidRDefault="009F0CA5" w:rsidP="00717CED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DD30EA">
        <w:rPr>
          <w:rFonts w:ascii="Poppins" w:hAnsi="Poppins" w:cs="Poppins"/>
          <w:b/>
          <w:bCs/>
          <w:sz w:val="20"/>
          <w:szCs w:val="20"/>
          <w:u w:val="single"/>
        </w:rPr>
        <w:t>METADATOS</w:t>
      </w:r>
    </w:p>
    <w:p w14:paraId="6F6FA515" w14:textId="291CF929" w:rsidR="009F0CA5" w:rsidRPr="00DD30EA" w:rsidRDefault="009F0CA5">
      <w:pPr>
        <w:rPr>
          <w:rFonts w:ascii="Poppins" w:hAnsi="Poppins" w:cs="Poppins"/>
          <w:sz w:val="20"/>
          <w:szCs w:val="20"/>
        </w:rPr>
      </w:pPr>
    </w:p>
    <w:p w14:paraId="77E11A95" w14:textId="05711535" w:rsidR="00504D0A" w:rsidRPr="00DD30EA" w:rsidRDefault="009F0CA5" w:rsidP="3C5AA01A">
      <w:pPr>
        <w:rPr>
          <w:rFonts w:ascii="Poppins" w:hAnsi="Poppins" w:cs="Poppins"/>
          <w:sz w:val="20"/>
          <w:szCs w:val="20"/>
        </w:rPr>
      </w:pPr>
      <w:r w:rsidRPr="00DD30EA">
        <w:rPr>
          <w:rFonts w:ascii="Poppins" w:hAnsi="Poppins" w:cs="Poppins"/>
          <w:sz w:val="20"/>
          <w:szCs w:val="20"/>
        </w:rPr>
        <w:t xml:space="preserve">Metadatos del </w:t>
      </w:r>
      <w:proofErr w:type="spellStart"/>
      <w:r w:rsidR="00530EFA" w:rsidRPr="00DD30EA">
        <w:rPr>
          <w:rFonts w:ascii="Poppins" w:hAnsi="Poppins" w:cs="Poppins"/>
          <w:sz w:val="20"/>
          <w:szCs w:val="20"/>
        </w:rPr>
        <w:t>Dataset</w:t>
      </w:r>
      <w:proofErr w:type="spellEnd"/>
      <w:r w:rsidR="00EB1A82" w:rsidRPr="00DD30EA">
        <w:rPr>
          <w:rFonts w:ascii="Poppins" w:hAnsi="Poppins" w:cs="Poppins"/>
          <w:sz w:val="20"/>
          <w:szCs w:val="20"/>
        </w:rPr>
        <w:t>:</w:t>
      </w:r>
      <w:r w:rsidR="00912D17" w:rsidRPr="00DD30EA">
        <w:rPr>
          <w:rFonts w:ascii="Poppins" w:hAnsi="Poppins" w:cs="Poppins"/>
          <w:sz w:val="20"/>
          <w:szCs w:val="20"/>
        </w:rPr>
        <w:t xml:space="preserve"> </w:t>
      </w:r>
      <w:r w:rsidR="001119A2">
        <w:rPr>
          <w:rFonts w:ascii="Poppins" w:hAnsi="Poppins" w:cs="Poppins"/>
          <w:sz w:val="20"/>
          <w:szCs w:val="20"/>
        </w:rPr>
        <w:t>Estructuras de Baja Tensión</w:t>
      </w:r>
      <w:r w:rsidR="000567A2" w:rsidRPr="00DD30EA">
        <w:rPr>
          <w:rFonts w:ascii="Poppins" w:hAnsi="Poppins" w:cs="Poppins"/>
          <w:sz w:val="20"/>
          <w:szCs w:val="20"/>
        </w:rPr>
        <w:t>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DD30EA" w14:paraId="30B6BD9E" w14:textId="77777777" w:rsidTr="4387C9EB">
        <w:tc>
          <w:tcPr>
            <w:tcW w:w="2972" w:type="dxa"/>
            <w:vAlign w:val="center"/>
          </w:tcPr>
          <w:p w14:paraId="2E49C04D" w14:textId="273124D6" w:rsidR="00504D0A" w:rsidRPr="00DD30EA" w:rsidRDefault="00504D0A" w:rsidP="3C5AA01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84AEFBD" w:rsidR="00504D0A" w:rsidRPr="00DD30EA" w:rsidRDefault="001119A2" w:rsidP="3C5AA01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Estructuras de Baja Tensión </w:t>
            </w:r>
            <w:r w:rsidR="00336174" w:rsidRPr="00DD30EA">
              <w:rPr>
                <w:rFonts w:ascii="Poppins" w:hAnsi="Poppins" w:cs="Poppins"/>
                <w:sz w:val="20"/>
                <w:szCs w:val="20"/>
              </w:rPr>
              <w:t>- [Organismo Supervisor de la Inversión en Energía y Minería - OSINERGMIN]</w:t>
            </w:r>
          </w:p>
        </w:tc>
      </w:tr>
      <w:tr w:rsidR="00504D0A" w:rsidRPr="00DD30EA" w14:paraId="1E2BA938" w14:textId="77777777" w:rsidTr="4387C9EB">
        <w:tc>
          <w:tcPr>
            <w:tcW w:w="2972" w:type="dxa"/>
            <w:vAlign w:val="center"/>
          </w:tcPr>
          <w:p w14:paraId="17CCE901" w14:textId="235EEF5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995A51B" w:rsidR="00002C3E" w:rsidRPr="00DD30EA" w:rsidRDefault="00B25D96" w:rsidP="68E3446A">
            <w:pPr>
              <w:rPr>
                <w:rFonts w:ascii="Poppins" w:hAnsi="Poppins" w:cs="Poppins"/>
                <w:sz w:val="20"/>
                <w:szCs w:val="20"/>
              </w:rPr>
            </w:pPr>
            <w:hyperlink r:id="rId8" w:history="1">
              <w:r>
                <w:rPr>
                  <w:rStyle w:val="Hipervnculo"/>
                </w:rPr>
                <w:t>Estructuras de Baja Tensión- [Organismo Supervisor de la Inversión en Energía y Minería - OSINERGMIN] | Plataforma Nacional de Datos Abiertos</w:t>
              </w:r>
            </w:hyperlink>
          </w:p>
        </w:tc>
      </w:tr>
      <w:tr w:rsidR="00504D0A" w:rsidRPr="00DD30EA" w14:paraId="2EC58AEF" w14:textId="77777777" w:rsidTr="4387C9EB">
        <w:tc>
          <w:tcPr>
            <w:tcW w:w="2972" w:type="dxa"/>
            <w:vAlign w:val="center"/>
          </w:tcPr>
          <w:p w14:paraId="24E79BF0" w14:textId="0C1004DE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4B80EB7" w14:textId="076A39A1" w:rsidR="00EA317E" w:rsidRPr="00EA317E" w:rsidRDefault="00EA317E" w:rsidP="4387C9EB">
            <w:pPr>
              <w:shd w:val="clear" w:color="auto" w:fill="FFFFFF" w:themeFill="background1"/>
              <w:spacing w:after="100" w:afterAutospacing="1"/>
              <w:jc w:val="both"/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</w:pP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Este conjunto de datos contiene la información técnica y geoespacial de las </w:t>
            </w:r>
            <w:r w:rsidRPr="4387C9EB">
              <w:rPr>
                <w:rFonts w:ascii="Poppins" w:eastAsia="Times New Roman" w:hAnsi="Poppins" w:cs="Poppins"/>
                <w:b/>
                <w:bCs/>
                <w:color w:val="373D49"/>
                <w:sz w:val="20"/>
                <w:szCs w:val="20"/>
                <w:lang w:eastAsia="es-PE"/>
              </w:rPr>
              <w:t>e</w:t>
            </w:r>
            <w:bookmarkStart w:id="0" w:name="_GoBack"/>
            <w:bookmarkEnd w:id="0"/>
            <w:r w:rsidRPr="4387C9EB">
              <w:rPr>
                <w:rFonts w:ascii="Poppins" w:eastAsia="Times New Roman" w:hAnsi="Poppins" w:cs="Poppins"/>
                <w:b/>
                <w:bCs/>
                <w:color w:val="373D49"/>
                <w:sz w:val="20"/>
                <w:szCs w:val="20"/>
                <w:lang w:eastAsia="es-PE"/>
              </w:rPr>
              <w:t>structuras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 (postes, apoyos) que forman parte de la red de distribución eléctrica </w:t>
            </w:r>
            <w:r w:rsidR="00056529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en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 Baja Tensión (BT) a nivel nacional. La información es reportada anualmente por las empresas concesionarias y consolidada por el Organismo Supervisor de la Inversión en Energía y Minería (OSINERGMIN). </w:t>
            </w:r>
            <w:r w:rsidRPr="4387C9EB">
              <w:rPr>
                <w:rFonts w:ascii="Poppins" w:eastAsia="Times New Roman" w:hAnsi="Poppins" w:cs="Poppins"/>
                <w:b/>
                <w:bCs/>
                <w:color w:val="373D49"/>
                <w:sz w:val="20"/>
                <w:szCs w:val="20"/>
                <w:lang w:eastAsia="es-PE"/>
              </w:rPr>
              <w:t>Cada fila del archivo representa una única estructura de la red.</w:t>
            </w:r>
          </w:p>
          <w:p w14:paraId="2A255616" w14:textId="77777777" w:rsidR="00DD30EA" w:rsidRPr="00EA317E" w:rsidRDefault="00DD30EA" w:rsidP="00DD30E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Contenido del </w:t>
            </w:r>
            <w:proofErr w:type="spellStart"/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 (Descripción de Columnas)</w:t>
            </w:r>
          </w:p>
          <w:p w14:paraId="75644E40" w14:textId="77777777" w:rsidR="00DD30EA" w:rsidRPr="00EA317E" w:rsidRDefault="00DD30EA" w:rsidP="00DD30E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El archivo está estructurado con las siguientes columnas principales:</w:t>
            </w:r>
          </w:p>
          <w:p w14:paraId="1B83AF0D" w14:textId="367A63BE" w:rsidR="00DD30EA" w:rsidRPr="00EA317E" w:rsidRDefault="00DD30EA" w:rsidP="00530EF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Especificaciones Técnicas del Archivo</w:t>
            </w:r>
          </w:p>
          <w:p w14:paraId="62E560D0" w14:textId="77777777" w:rsidR="00EA317E" w:rsidRPr="00EA317E" w:rsidRDefault="00EA317E" w:rsidP="00EA317E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Información de Gestión del </w:t>
            </w:r>
            <w:proofErr w:type="spellStart"/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:</w:t>
            </w:r>
          </w:p>
          <w:p w14:paraId="14C002A0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FECHA_CORTE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Fecha en la que se realizó la extracción de los datos (formato </w:t>
            </w: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YYYYMMDD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25317FA8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FECHA_EMISION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 xml:space="preserve">: Fecha de generación del presente </w:t>
            </w:r>
            <w:proofErr w:type="spellStart"/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</w:p>
          <w:p w14:paraId="76FB071A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EMPRESA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Nombre de la empresa concesionaria que reporta la información.</w:t>
            </w:r>
          </w:p>
          <w:p w14:paraId="174C5DB2" w14:textId="77777777" w:rsidR="00EA317E" w:rsidRPr="00EA317E" w:rsidRDefault="00EA317E" w:rsidP="00EA317E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Identificadores de la Estructura:</w:t>
            </w:r>
          </w:p>
          <w:p w14:paraId="67B322D8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CODESTRUCTURA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Código único e invariable asignado por la empresa para identificar la estructura.</w:t>
            </w:r>
          </w:p>
          <w:p w14:paraId="5E4CA69D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CODTRAMOBT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de baja tensión que soporta esta estructura.</w:t>
            </w:r>
          </w:p>
          <w:p w14:paraId="3DA0AF53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CODMATERIAL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Código que describe el tipo de material de la estructura.</w:t>
            </w:r>
          </w:p>
          <w:p w14:paraId="5872D845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PROPIEDAD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Identificador de la entidad propietaria de la estructura.</w:t>
            </w:r>
          </w:p>
          <w:p w14:paraId="48DFB618" w14:textId="77777777" w:rsidR="00EA317E" w:rsidRPr="00EA317E" w:rsidRDefault="00EA317E" w:rsidP="00EA317E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Ubicación en la Red Eléctrica:</w:t>
            </w:r>
          </w:p>
          <w:p w14:paraId="49598731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SECTOR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Código del sector eléctrico al que pertenece la estructura.</w:t>
            </w:r>
          </w:p>
          <w:p w14:paraId="0AA43FCA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COD_SISTEMA_ELECTRICO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Código del sistema eléctrico.</w:t>
            </w:r>
          </w:p>
          <w:p w14:paraId="5A2FEBD1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NOMBRE_SISTEMA_ELECTRICO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Nombre del sistema eléctrico.</w:t>
            </w:r>
          </w:p>
          <w:p w14:paraId="7B769D0B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ALIMENTADOR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Nombre del alimentador de media tensión del cual depende el sistema de baja tensión.</w:t>
            </w:r>
          </w:p>
          <w:p w14:paraId="1073B353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SUBESTACION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Código de la Subestación de Distribución asociada.</w:t>
            </w:r>
          </w:p>
          <w:p w14:paraId="41B3223D" w14:textId="77777777" w:rsidR="00EA317E" w:rsidRPr="00EA317E" w:rsidRDefault="00EA317E" w:rsidP="00EA317E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Datos Técnicos y Coordenadas:</w:t>
            </w:r>
          </w:p>
          <w:p w14:paraId="103542A6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FECPUESTASERVICIO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 Fecha de puesta en servicio de la estructura (formato </w:t>
            </w:r>
            <w:proofErr w:type="spellStart"/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dd</w:t>
            </w:r>
            <w:proofErr w:type="spellEnd"/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/mm/</w:t>
            </w:r>
            <w:proofErr w:type="spellStart"/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aaaa</w:t>
            </w:r>
            <w:proofErr w:type="spellEnd"/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664A8E87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lastRenderedPageBreak/>
              <w:t>COORDENADA_X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Longitud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 la estructura.</w:t>
            </w:r>
          </w:p>
          <w:p w14:paraId="554AC209" w14:textId="77777777" w:rsidR="00EA317E" w:rsidRPr="00EA317E" w:rsidRDefault="00EA317E" w:rsidP="00EA317E">
            <w:pPr>
              <w:pStyle w:val="has-line-data"/>
              <w:numPr>
                <w:ilvl w:val="1"/>
                <w:numId w:val="12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COORDENADA_Y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Latitud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 la estructura.</w:t>
            </w:r>
          </w:p>
          <w:p w14:paraId="04E7CF72" w14:textId="77777777" w:rsidR="00EA317E" w:rsidRPr="00EA317E" w:rsidRDefault="00EA317E" w:rsidP="00EA317E">
            <w:pPr>
              <w:pStyle w:val="has-line-data"/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Especificaciones Técnicas del Archivo</w:t>
            </w:r>
          </w:p>
          <w:p w14:paraId="4C0E0D93" w14:textId="77777777" w:rsidR="00EA317E" w:rsidRPr="00EA317E" w:rsidRDefault="00EA317E" w:rsidP="00EA317E">
            <w:pPr>
              <w:pStyle w:val="has-line-data"/>
              <w:numPr>
                <w:ilvl w:val="0"/>
                <w:numId w:val="13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Formato: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 CSV (Valores Separados por Delimitador).</w:t>
            </w:r>
          </w:p>
          <w:p w14:paraId="522BA3F9" w14:textId="77777777" w:rsidR="00EA317E" w:rsidRPr="00EA317E" w:rsidRDefault="00EA317E" w:rsidP="00EA317E">
            <w:pPr>
              <w:pStyle w:val="has-line-data"/>
              <w:numPr>
                <w:ilvl w:val="0"/>
                <w:numId w:val="13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Delimitador de Campos: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 Coma (</w:t>
            </w:r>
            <w:r w:rsidRPr="00EA317E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,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6F3E615E" w14:textId="77777777" w:rsidR="00EA317E" w:rsidRPr="00EA317E" w:rsidRDefault="00EA317E" w:rsidP="00EA317E">
            <w:pPr>
              <w:pStyle w:val="has-line-data"/>
              <w:numPr>
                <w:ilvl w:val="0"/>
                <w:numId w:val="13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Codificación de Caracteres: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</w:rPr>
              <w:t> UTF-8.</w:t>
            </w:r>
          </w:p>
          <w:p w14:paraId="3B4938DD" w14:textId="0CF406D7" w:rsidR="00CD25C2" w:rsidRPr="00EA317E" w:rsidRDefault="00530EFA" w:rsidP="00EA317E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EA317E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 xml:space="preserve">Fuente y </w:t>
            </w:r>
            <w:r w:rsidR="116D3EB5" w:rsidRPr="00EA317E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>Carácter de la Información:</w:t>
            </w:r>
          </w:p>
          <w:p w14:paraId="1768E929" w14:textId="53FE0975" w:rsidR="00CD25C2" w:rsidRPr="00EA317E" w:rsidRDefault="00530EFA" w:rsidP="00EA317E">
            <w:pPr>
              <w:spacing w:after="240"/>
              <w:jc w:val="both"/>
              <w:rPr>
                <w:rFonts w:ascii="Poppins" w:eastAsia="Arial" w:hAnsi="Poppins" w:cs="Poppins"/>
                <w:sz w:val="20"/>
                <w:szCs w:val="20"/>
              </w:rPr>
            </w:pPr>
            <w:r w:rsidRPr="00EA317E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Importante:</w:t>
            </w:r>
            <w:r w:rsidRPr="00EA317E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La información contenida en este </w:t>
            </w:r>
            <w:proofErr w:type="spellStart"/>
            <w:r w:rsidRPr="00EA317E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Dataset</w:t>
            </w:r>
            <w:proofErr w:type="spellEnd"/>
            <w:r w:rsidRPr="00EA317E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es de carácter referencial.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</w:t>
            </w:r>
            <w:r w:rsidR="116D3EB5" w:rsidRPr="00EA317E">
              <w:rPr>
                <w:rFonts w:ascii="Poppins" w:eastAsia="Arial" w:hAnsi="Poppins" w:cs="Poppins"/>
                <w:sz w:val="20"/>
                <w:szCs w:val="20"/>
              </w:rPr>
              <w:t>.</w:t>
            </w:r>
          </w:p>
        </w:tc>
      </w:tr>
      <w:tr w:rsidR="00504D0A" w:rsidRPr="00DD30EA" w14:paraId="283C9B4F" w14:textId="77777777" w:rsidTr="4387C9EB">
        <w:tc>
          <w:tcPr>
            <w:tcW w:w="2972" w:type="dxa"/>
            <w:vAlign w:val="center"/>
          </w:tcPr>
          <w:p w14:paraId="51D63ABD" w14:textId="5D977796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81F3A19" w:rsidR="00504D0A" w:rsidRPr="00DD30EA" w:rsidRDefault="00FC4798" w:rsidP="00AE2608">
            <w:pPr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Organismo Supervisor de la Inversión en Energía y Minería</w:t>
            </w:r>
            <w:r w:rsidR="00AE2608" w:rsidRPr="00DD30EA">
              <w:rPr>
                <w:rFonts w:ascii="Poppins" w:hAnsi="Poppins" w:cs="Poppins"/>
                <w:sz w:val="20"/>
                <w:szCs w:val="20"/>
              </w:rPr>
              <w:t xml:space="preserve"> – </w:t>
            </w:r>
            <w:r w:rsidR="00B738A8" w:rsidRPr="00DD30EA">
              <w:rPr>
                <w:rFonts w:ascii="Poppins" w:hAnsi="Poppins" w:cs="Poppins"/>
                <w:sz w:val="20"/>
                <w:szCs w:val="20"/>
              </w:rPr>
              <w:t>OSINERGMIN</w:t>
            </w:r>
          </w:p>
        </w:tc>
      </w:tr>
      <w:tr w:rsidR="00504D0A" w:rsidRPr="00DD30EA" w14:paraId="1598F2E3" w14:textId="77777777" w:rsidTr="4387C9EB">
        <w:tc>
          <w:tcPr>
            <w:tcW w:w="2972" w:type="dxa"/>
            <w:vAlign w:val="center"/>
          </w:tcPr>
          <w:p w14:paraId="4723B4D8" w14:textId="16D3A58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DD30EA" w:rsidRDefault="00AE2608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GERENCIA DE SUPERVISIÓN DE ENERGÍA</w:t>
            </w:r>
          </w:p>
        </w:tc>
      </w:tr>
      <w:tr w:rsidR="00504D0A" w:rsidRPr="00DD30EA" w14:paraId="28E3066C" w14:textId="77777777" w:rsidTr="4387C9EB">
        <w:tc>
          <w:tcPr>
            <w:tcW w:w="2972" w:type="dxa"/>
            <w:vAlign w:val="center"/>
          </w:tcPr>
          <w:p w14:paraId="316C6F46" w14:textId="50815B45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81C669" w:rsidR="00504D0A" w:rsidRPr="00DD30EA" w:rsidRDefault="001119A2" w:rsidP="4289842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0465B3">
              <w:rPr>
                <w:rFonts w:ascii="Poppins" w:hAnsi="Poppins" w:cs="Poppins"/>
                <w:sz w:val="20"/>
                <w:szCs w:val="20"/>
              </w:rPr>
              <w:t xml:space="preserve">Baja </w:t>
            </w:r>
            <w:r>
              <w:rPr>
                <w:rFonts w:ascii="Poppins" w:hAnsi="Poppins" w:cs="Poppins"/>
                <w:sz w:val="20"/>
                <w:szCs w:val="20"/>
              </w:rPr>
              <w:t>Tensión</w:t>
            </w:r>
          </w:p>
        </w:tc>
      </w:tr>
      <w:tr w:rsidR="00504D0A" w:rsidRPr="00DD30EA" w14:paraId="43175C4D" w14:textId="77777777" w:rsidTr="4387C9EB">
        <w:tc>
          <w:tcPr>
            <w:tcW w:w="2972" w:type="dxa"/>
            <w:vAlign w:val="center"/>
          </w:tcPr>
          <w:p w14:paraId="12BAD6F9" w14:textId="0D974740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FD08D1" w:rsidR="00504D0A" w:rsidRPr="00DD30EA" w:rsidRDefault="00AE2608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00CD00F6" w:rsidRPr="00DD30EA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06-1</w:t>
            </w:r>
            <w:r w:rsidR="00411E67">
              <w:rPr>
                <w:rFonts w:ascii="Poppins" w:hAnsi="Poppins" w:cs="Poppins"/>
                <w:sz w:val="20"/>
                <w:szCs w:val="20"/>
              </w:rPr>
              <w:t>8</w:t>
            </w:r>
          </w:p>
        </w:tc>
      </w:tr>
      <w:tr w:rsidR="00504D0A" w:rsidRPr="00DD30EA" w14:paraId="011842A8" w14:textId="77777777" w:rsidTr="4387C9EB">
        <w:tc>
          <w:tcPr>
            <w:tcW w:w="2972" w:type="dxa"/>
            <w:vAlign w:val="center"/>
          </w:tcPr>
          <w:p w14:paraId="35EB519A" w14:textId="7F952C47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5425299" w:rsidR="00504D0A" w:rsidRPr="00DD30EA" w:rsidRDefault="00530EFA" w:rsidP="00504D0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Mensual</w:t>
            </w:r>
          </w:p>
        </w:tc>
      </w:tr>
      <w:tr w:rsidR="00CD25C2" w:rsidRPr="00DD30EA" w14:paraId="2C94159F" w14:textId="77777777" w:rsidTr="4387C9EB">
        <w:tc>
          <w:tcPr>
            <w:tcW w:w="2972" w:type="dxa"/>
            <w:vAlign w:val="center"/>
          </w:tcPr>
          <w:p w14:paraId="4C1DE0E1" w14:textId="18D08B51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2BF0965" w:rsidR="00CD25C2" w:rsidRPr="00DD30EA" w:rsidRDefault="38DDBF8D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659AD9E5" w:rsidRPr="00DD30EA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5FC6A4B3" w:rsidRPr="00DD30EA">
              <w:rPr>
                <w:rFonts w:ascii="Poppins" w:hAnsi="Poppins" w:cs="Poppins"/>
                <w:sz w:val="20"/>
                <w:szCs w:val="20"/>
              </w:rPr>
              <w:t>05-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31</w:t>
            </w:r>
          </w:p>
        </w:tc>
      </w:tr>
      <w:tr w:rsidR="00CD25C2" w:rsidRPr="00DD30EA" w14:paraId="3F74AE2E" w14:textId="77777777" w:rsidTr="4387C9EB">
        <w:tc>
          <w:tcPr>
            <w:tcW w:w="2972" w:type="dxa"/>
            <w:vAlign w:val="center"/>
          </w:tcPr>
          <w:p w14:paraId="59316C5D" w14:textId="137D6F1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Pr="00DD30EA" w:rsidRDefault="00AE2608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1.0</w:t>
            </w:r>
          </w:p>
        </w:tc>
      </w:tr>
      <w:tr w:rsidR="00CD25C2" w:rsidRPr="00DD30EA" w14:paraId="7EBCCDEC" w14:textId="77777777" w:rsidTr="4387C9EB">
        <w:tc>
          <w:tcPr>
            <w:tcW w:w="2972" w:type="dxa"/>
            <w:vAlign w:val="center"/>
          </w:tcPr>
          <w:p w14:paraId="083F45C8" w14:textId="4E1B252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D30EA" w:rsidRDefault="00B25D96" w:rsidP="00CD25C2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hyperlink r:id="rId9" w:history="1">
              <w:r w:rsidR="00CD25C2" w:rsidRPr="00DD30EA">
                <w:rPr>
                  <w:rStyle w:val="Hipervnculo"/>
                  <w:rFonts w:ascii="Poppins" w:hAnsi="Poppins" w:cs="Poppins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DD30EA" w14:paraId="50813B98" w14:textId="77777777" w:rsidTr="4387C9EB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DD30EA" w14:paraId="1117E997" w14:textId="77777777" w:rsidTr="4387C9EB">
        <w:tc>
          <w:tcPr>
            <w:tcW w:w="2972" w:type="dxa"/>
            <w:vAlign w:val="center"/>
          </w:tcPr>
          <w:p w14:paraId="1CADEF4B" w14:textId="184AA53E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DD30EA" w14:paraId="7E0D1F8D" w14:textId="77777777" w:rsidTr="4387C9EB">
        <w:tc>
          <w:tcPr>
            <w:tcW w:w="2972" w:type="dxa"/>
          </w:tcPr>
          <w:p w14:paraId="44582A03" w14:textId="175F5ABC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DD30EA">
              <w:rPr>
                <w:rFonts w:ascii="Poppins" w:hAnsi="Poppins" w:cs="Poppins"/>
                <w:sz w:val="20"/>
                <w:szCs w:val="20"/>
              </w:rPr>
              <w:t>Dataset</w:t>
            </w:r>
            <w:proofErr w:type="spellEnd"/>
          </w:p>
        </w:tc>
      </w:tr>
      <w:tr w:rsidR="00CD25C2" w:rsidRPr="00DD30EA" w14:paraId="002B4018" w14:textId="77777777" w:rsidTr="4387C9EB">
        <w:tc>
          <w:tcPr>
            <w:tcW w:w="2972" w:type="dxa"/>
          </w:tcPr>
          <w:p w14:paraId="7C20EDCE" w14:textId="0318ABEF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CSV</w:t>
            </w:r>
          </w:p>
        </w:tc>
      </w:tr>
      <w:tr w:rsidR="00CD25C2" w:rsidRPr="00DD30EA" w14:paraId="7A5EEEA5" w14:textId="77777777" w:rsidTr="4387C9EB">
        <w:tc>
          <w:tcPr>
            <w:tcW w:w="2972" w:type="dxa"/>
          </w:tcPr>
          <w:p w14:paraId="14C8EAEF" w14:textId="0A3D387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7EF9990" w:rsidR="00CD25C2" w:rsidRPr="00DD30EA" w:rsidRDefault="00AE2608" w:rsidP="7DF4B0F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 xml:space="preserve">Perú, </w:t>
            </w:r>
            <w:r w:rsidR="00337EF5" w:rsidRPr="00DD30EA">
              <w:rPr>
                <w:rFonts w:ascii="Poppins" w:hAnsi="Poppins" w:cs="Poppins"/>
                <w:sz w:val="20"/>
                <w:szCs w:val="20"/>
              </w:rPr>
              <w:t>2025</w:t>
            </w:r>
          </w:p>
        </w:tc>
      </w:tr>
      <w:tr w:rsidR="00CD25C2" w:rsidRPr="00DD30EA" w14:paraId="494AA20C" w14:textId="77777777" w:rsidTr="4387C9EB">
        <w:tc>
          <w:tcPr>
            <w:tcW w:w="2972" w:type="dxa"/>
          </w:tcPr>
          <w:p w14:paraId="6E758B40" w14:textId="2431496E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F13E6AD" w:rsidR="00CD25C2" w:rsidRPr="00DD30EA" w:rsidRDefault="00B25D96" w:rsidP="00CD25C2">
            <w:pPr>
              <w:rPr>
                <w:rFonts w:ascii="Poppins" w:hAnsi="Poppins" w:cs="Poppins"/>
                <w:sz w:val="20"/>
                <w:szCs w:val="20"/>
              </w:rPr>
            </w:pPr>
            <w:hyperlink r:id="rId10" w:history="1">
              <w:r w:rsidR="00DD30EA" w:rsidRPr="00DD30EA">
                <w:rPr>
                  <w:rStyle w:val="Hipervnculo"/>
                  <w:rFonts w:ascii="Poppins" w:hAnsi="Poppins" w:cs="Poppins"/>
                  <w:sz w:val="20"/>
                  <w:szCs w:val="20"/>
                </w:rPr>
                <w:t>fcervantesr@osinergmin.gob.pe</w:t>
              </w:r>
            </w:hyperlink>
          </w:p>
        </w:tc>
      </w:tr>
    </w:tbl>
    <w:p w14:paraId="0E6576BC" w14:textId="2476AD3F" w:rsidR="009F0CA5" w:rsidRPr="00DD30EA" w:rsidRDefault="009F0CA5" w:rsidP="00DA6578">
      <w:pPr>
        <w:rPr>
          <w:rFonts w:ascii="Poppins" w:hAnsi="Poppins" w:cs="Poppins"/>
          <w:sz w:val="20"/>
          <w:szCs w:val="20"/>
        </w:rPr>
      </w:pPr>
    </w:p>
    <w:sectPr w:rsidR="009F0CA5" w:rsidRPr="00DD30E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426E"/>
    <w:multiLevelType w:val="hybridMultilevel"/>
    <w:tmpl w:val="E4982AD4"/>
    <w:lvl w:ilvl="0" w:tplc="5D9EE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404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2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07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2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47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64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2C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551B"/>
    <w:multiLevelType w:val="multilevel"/>
    <w:tmpl w:val="7872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A16E1"/>
    <w:multiLevelType w:val="multilevel"/>
    <w:tmpl w:val="D32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8806EB"/>
    <w:multiLevelType w:val="multilevel"/>
    <w:tmpl w:val="088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22167"/>
    <w:multiLevelType w:val="multilevel"/>
    <w:tmpl w:val="654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2C3E"/>
    <w:rsid w:val="00026688"/>
    <w:rsid w:val="000465B3"/>
    <w:rsid w:val="00056529"/>
    <w:rsid w:val="000567A2"/>
    <w:rsid w:val="000E6384"/>
    <w:rsid w:val="001119A2"/>
    <w:rsid w:val="00116DF8"/>
    <w:rsid w:val="00122B38"/>
    <w:rsid w:val="00182C03"/>
    <w:rsid w:val="001A6568"/>
    <w:rsid w:val="001E5E58"/>
    <w:rsid w:val="00200191"/>
    <w:rsid w:val="0020585A"/>
    <w:rsid w:val="002603FB"/>
    <w:rsid w:val="00297BE5"/>
    <w:rsid w:val="00306482"/>
    <w:rsid w:val="00306B9C"/>
    <w:rsid w:val="00316C60"/>
    <w:rsid w:val="00336174"/>
    <w:rsid w:val="00337EF5"/>
    <w:rsid w:val="00352A3A"/>
    <w:rsid w:val="003779E1"/>
    <w:rsid w:val="003C03F2"/>
    <w:rsid w:val="003D0AF5"/>
    <w:rsid w:val="003D6FF9"/>
    <w:rsid w:val="003E4836"/>
    <w:rsid w:val="00411E67"/>
    <w:rsid w:val="004474D3"/>
    <w:rsid w:val="0048753E"/>
    <w:rsid w:val="004D71D4"/>
    <w:rsid w:val="004F1D9B"/>
    <w:rsid w:val="004F63EB"/>
    <w:rsid w:val="00504D0A"/>
    <w:rsid w:val="00530EF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5940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7270F"/>
    <w:rsid w:val="00AE2608"/>
    <w:rsid w:val="00B25D96"/>
    <w:rsid w:val="00B27C25"/>
    <w:rsid w:val="00B6616D"/>
    <w:rsid w:val="00B738A8"/>
    <w:rsid w:val="00BA7203"/>
    <w:rsid w:val="00BE2CC3"/>
    <w:rsid w:val="00C961F8"/>
    <w:rsid w:val="00CD00F6"/>
    <w:rsid w:val="00CD25C2"/>
    <w:rsid w:val="00D00322"/>
    <w:rsid w:val="00D34A66"/>
    <w:rsid w:val="00D353DD"/>
    <w:rsid w:val="00D505D8"/>
    <w:rsid w:val="00D5492D"/>
    <w:rsid w:val="00D5559D"/>
    <w:rsid w:val="00D957C7"/>
    <w:rsid w:val="00DA6578"/>
    <w:rsid w:val="00DB5663"/>
    <w:rsid w:val="00DD30EA"/>
    <w:rsid w:val="00DD5144"/>
    <w:rsid w:val="00E713A6"/>
    <w:rsid w:val="00E7275D"/>
    <w:rsid w:val="00EA317E"/>
    <w:rsid w:val="00EB1A82"/>
    <w:rsid w:val="00EB23EF"/>
    <w:rsid w:val="00ED2A96"/>
    <w:rsid w:val="00F1229D"/>
    <w:rsid w:val="00F57BE2"/>
    <w:rsid w:val="00F66923"/>
    <w:rsid w:val="00F71199"/>
    <w:rsid w:val="00FA048A"/>
    <w:rsid w:val="00FC4798"/>
    <w:rsid w:val="03EED02E"/>
    <w:rsid w:val="043C0B19"/>
    <w:rsid w:val="050DF004"/>
    <w:rsid w:val="07FEB3C6"/>
    <w:rsid w:val="0BA86656"/>
    <w:rsid w:val="0ED6B119"/>
    <w:rsid w:val="1120CA0F"/>
    <w:rsid w:val="116D3EB5"/>
    <w:rsid w:val="122B9200"/>
    <w:rsid w:val="1244816F"/>
    <w:rsid w:val="1381DD00"/>
    <w:rsid w:val="15C93F8F"/>
    <w:rsid w:val="17753B58"/>
    <w:rsid w:val="17982766"/>
    <w:rsid w:val="1DB35DA3"/>
    <w:rsid w:val="1F2B4D6B"/>
    <w:rsid w:val="1F4EFE07"/>
    <w:rsid w:val="210E0084"/>
    <w:rsid w:val="212B276F"/>
    <w:rsid w:val="25B2C515"/>
    <w:rsid w:val="29A5CFC6"/>
    <w:rsid w:val="2E5BB0A2"/>
    <w:rsid w:val="330BC052"/>
    <w:rsid w:val="3415EB8B"/>
    <w:rsid w:val="34F930C5"/>
    <w:rsid w:val="382667D2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387C9EB"/>
    <w:rsid w:val="44ABF622"/>
    <w:rsid w:val="476ADA2E"/>
    <w:rsid w:val="4B37E628"/>
    <w:rsid w:val="4C3B19F2"/>
    <w:rsid w:val="4EACAF57"/>
    <w:rsid w:val="4F04DF55"/>
    <w:rsid w:val="50E412BD"/>
    <w:rsid w:val="520BC64C"/>
    <w:rsid w:val="53A8B84B"/>
    <w:rsid w:val="542D6EB4"/>
    <w:rsid w:val="54B66DB8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0B2010"/>
    <w:rsid w:val="62DE8E9B"/>
    <w:rsid w:val="63114218"/>
    <w:rsid w:val="659AD9E5"/>
    <w:rsid w:val="665598B1"/>
    <w:rsid w:val="68E3446A"/>
    <w:rsid w:val="69B69C50"/>
    <w:rsid w:val="6A6BE369"/>
    <w:rsid w:val="6B241DF5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666119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paragraph" w:customStyle="1" w:styleId="has-line-data">
    <w:name w:val="has-line-data"/>
    <w:basedOn w:val="Normal"/>
    <w:rsid w:val="00DD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DD30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abiertos.gob.pe/dataset/estructuras-de-baja-tensi%C3%B3n-organismo-supervisor-de-la-inversi%C3%B3n-en-energ%C3%ADa-y-miner%C3%AD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r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purl.org/dc/terms/"/>
    <ds:schemaRef ds:uri="http://schemas.microsoft.com/office/infopath/2007/PartnerControls"/>
    <ds:schemaRef ds:uri="778c2449-8873-4133-9a42-f88028819483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83fe1c5-bc10-42de-808f-80506cdae86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53C79-21FE-44CF-8FAD-3A98372A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57</cp:revision>
  <dcterms:created xsi:type="dcterms:W3CDTF">2024-05-20T22:29:00Z</dcterms:created>
  <dcterms:modified xsi:type="dcterms:W3CDTF">2025-06-18T21:18:00Z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