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D61E0" w:rsidRDefault="009F0CA5">
      <w:pPr>
        <w:rPr>
          <w:rFonts w:asciiTheme="majorHAnsi" w:hAnsiTheme="majorHAnsi" w:cstheme="majorHAnsi"/>
        </w:rPr>
      </w:pPr>
    </w:p>
    <w:p w14:paraId="77E11A95" w14:textId="5A928C42" w:rsidR="00504D0A" w:rsidRPr="00A21E12" w:rsidRDefault="009C7E53" w:rsidP="00DA6578">
      <w:pPr>
        <w:rPr>
          <w:rFonts w:asciiTheme="majorHAnsi" w:hAnsiTheme="majorHAnsi" w:cstheme="majorHAnsi"/>
          <w:u w:val="single"/>
        </w:rPr>
      </w:pPr>
      <w:r w:rsidRPr="009C7E53">
        <w:rPr>
          <w:rFonts w:asciiTheme="majorHAnsi" w:hAnsiTheme="majorHAnsi" w:cstheme="majorHAnsi"/>
        </w:rPr>
        <w:t xml:space="preserve">Metadatos del dataset: </w:t>
      </w:r>
      <w:r w:rsidR="0032770A" w:rsidRPr="0032770A">
        <w:t>REGISTRO DE PROYETOS DE INVERSIÓN PÚBLICA DE LA REGIÓN SAN MARTÍN –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6F74F96" w:rsidR="00504D0A" w:rsidRPr="009D61E0" w:rsidRDefault="006351D5" w:rsidP="00504D0A">
            <w:pPr>
              <w:rPr>
                <w:rFonts w:asciiTheme="majorHAnsi" w:hAnsiTheme="majorHAnsi" w:cstheme="majorHAnsi"/>
                <w:u w:val="single"/>
              </w:rPr>
            </w:pPr>
            <w:r w:rsidRPr="006351D5">
              <w:t>REGISTRO DE PROYETOS DE INVERSIÓN PÚBLICA DE LA REGIÓN SAN MARTÍN –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CE544E"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45B41D5" w14:textId="5F3F5D80" w:rsidR="009D61E0" w:rsidRDefault="0032770A" w:rsidP="004A6BAF">
            <w:pPr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>Este diccionario contiene la descripción de cada una de las variables presentes en la base de datos de proyectos de inversión pública</w:t>
            </w:r>
            <w:r>
              <w:rPr>
                <w:rFonts w:asciiTheme="majorHAnsi" w:hAnsiTheme="majorHAnsi" w:cstheme="majorHAnsi"/>
              </w:rPr>
              <w:t xml:space="preserve"> del gobierno regional de San Martín</w:t>
            </w:r>
            <w:r w:rsidRPr="0032770A">
              <w:rPr>
                <w:rFonts w:asciiTheme="majorHAnsi" w:hAnsiTheme="majorHAnsi" w:cstheme="majorHAnsi"/>
              </w:rPr>
              <w:t xml:space="preserve">. Incluye campos relacionados a la identificación del proyecto, su ubicación geográfica, estado de ejecución, presupuesto, fechas, y </w:t>
            </w:r>
            <w:r>
              <w:rPr>
                <w:rFonts w:asciiTheme="majorHAnsi" w:hAnsiTheme="majorHAnsi" w:cstheme="majorHAnsi"/>
              </w:rPr>
              <w:t>datos descriptivos de su ejecución</w:t>
            </w:r>
            <w:r w:rsidRPr="0032770A">
              <w:rPr>
                <w:rFonts w:asciiTheme="majorHAnsi" w:hAnsiTheme="majorHAnsi" w:cstheme="majorHAnsi"/>
              </w:rPr>
              <w:t xml:space="preserve">. Su propósito es facilitar la comprensión y uso de los datos </w:t>
            </w:r>
            <w:r>
              <w:rPr>
                <w:rFonts w:asciiTheme="majorHAnsi" w:hAnsiTheme="majorHAnsi" w:cstheme="majorHAnsi"/>
              </w:rPr>
              <w:t>por la población</w:t>
            </w:r>
            <w:r w:rsidRPr="0032770A">
              <w:rPr>
                <w:rFonts w:asciiTheme="majorHAnsi" w:hAnsiTheme="majorHAnsi" w:cstheme="majorHAnsi"/>
              </w:rPr>
              <w:t xml:space="preserve"> y entidades responsables del seguimiento de la inversión pública.</w:t>
            </w:r>
          </w:p>
          <w:p w14:paraId="2BAB161F" w14:textId="77777777" w:rsidR="0032770A" w:rsidRPr="004A6BAF" w:rsidRDefault="0032770A" w:rsidP="004A6BAF">
            <w:pPr>
              <w:jc w:val="both"/>
              <w:rPr>
                <w:rFonts w:asciiTheme="majorHAnsi" w:hAnsiTheme="majorHAnsi" w:cstheme="majorHAnsi"/>
              </w:rPr>
            </w:pPr>
          </w:p>
          <w:p w14:paraId="2B21BCC7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PK_REGISTRO: Identificador único del registro  </w:t>
            </w:r>
          </w:p>
          <w:p w14:paraId="4853E506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TIPO_INVERSION: Tipo de inversión  </w:t>
            </w:r>
          </w:p>
          <w:p w14:paraId="55860300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CUI: Código Único de Inversión  </w:t>
            </w:r>
          </w:p>
          <w:p w14:paraId="112DFF74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NOMBRE_PROYECTO: Nombre oficial del proyecto  </w:t>
            </w:r>
          </w:p>
          <w:p w14:paraId="2CADC08F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SECTOR: Sector afectado  </w:t>
            </w:r>
          </w:p>
          <w:p w14:paraId="20C1095D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EXPEDIENTE_TECNICO: Se nombra el documento relacionado al proyecto  </w:t>
            </w:r>
          </w:p>
          <w:p w14:paraId="2890FF57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BENEFICIARIOS: Número de beneficiarios  </w:t>
            </w:r>
          </w:p>
          <w:p w14:paraId="5DA07C2E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MONT_ACTUALIZADO: Monto actualizado del proyecto (en soles)  </w:t>
            </w:r>
          </w:p>
          <w:p w14:paraId="70C8C6CD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UNIDAD_EJECUTORA: Entidad ejecutora del proyecto  </w:t>
            </w:r>
          </w:p>
          <w:p w14:paraId="617F9B5C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ASIGNADO: Presupuesto asignado  </w:t>
            </w:r>
          </w:p>
          <w:p w14:paraId="7778000B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EJECUTADO: Presupuesto ejecutado hasta la fecha  </w:t>
            </w:r>
          </w:p>
          <w:p w14:paraId="51A6AE37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FINANCIAMIENTO: Fuente de financiamiento  </w:t>
            </w:r>
          </w:p>
          <w:p w14:paraId="02765684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UBIGEO: Código </w:t>
            </w:r>
            <w:proofErr w:type="spellStart"/>
            <w:r w:rsidRPr="0032770A">
              <w:rPr>
                <w:rFonts w:asciiTheme="majorHAnsi" w:hAnsiTheme="majorHAnsi" w:cstheme="majorHAnsi"/>
              </w:rPr>
              <w:t>ubigeo</w:t>
            </w:r>
            <w:proofErr w:type="spellEnd"/>
            <w:r w:rsidRPr="0032770A">
              <w:rPr>
                <w:rFonts w:asciiTheme="majorHAnsi" w:hAnsiTheme="majorHAnsi" w:cstheme="majorHAnsi"/>
              </w:rPr>
              <w:t xml:space="preserve">  </w:t>
            </w:r>
          </w:p>
          <w:p w14:paraId="10E1B3F6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COD_DEPARTAMENTO: Código del departamento (2 dígitos)  </w:t>
            </w:r>
          </w:p>
          <w:p w14:paraId="3DC1AC14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DEPARTAMENTO: Nombre del departamento  </w:t>
            </w:r>
          </w:p>
          <w:p w14:paraId="49F33F3A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COD_PROVINCIA: Código de la provincia (2 dígitos)  </w:t>
            </w:r>
          </w:p>
          <w:p w14:paraId="13CD643F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PROVINCIA: Nombre de la provincia  </w:t>
            </w:r>
          </w:p>
          <w:p w14:paraId="498B8600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COD_DISTRITO: Código del distrito (2 dígitos)  </w:t>
            </w:r>
          </w:p>
          <w:p w14:paraId="08A081EC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DISTRITO: Nombre del distrito  </w:t>
            </w:r>
          </w:p>
          <w:p w14:paraId="10A4FEFF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FECHA_INICIO: Fecha programada de inicio del proyecto  </w:t>
            </w:r>
          </w:p>
          <w:p w14:paraId="24D74252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FECHA_FINAL: Fecha estimada de finalización  </w:t>
            </w:r>
          </w:p>
          <w:p w14:paraId="71181AC7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ESTADO_DES: Descripción del estado del proyecto  </w:t>
            </w:r>
          </w:p>
          <w:p w14:paraId="44C84013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EJE_FINANCIERA: Porcentaje ejecutado del presupuesto asignado  </w:t>
            </w:r>
          </w:p>
          <w:p w14:paraId="514EF570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ALTITUD: Altitud geográfica (en metros sobre el nivel del mar)  </w:t>
            </w:r>
          </w:p>
          <w:p w14:paraId="5D2AB00A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t xml:space="preserve">LATITUD: Latitud geográfica  </w:t>
            </w:r>
          </w:p>
          <w:p w14:paraId="49B04E1E" w14:textId="77777777" w:rsidR="0032770A" w:rsidRPr="0032770A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32770A">
              <w:rPr>
                <w:rFonts w:asciiTheme="majorHAnsi" w:hAnsiTheme="majorHAnsi" w:cstheme="majorHAnsi"/>
              </w:rPr>
              <w:lastRenderedPageBreak/>
              <w:t xml:space="preserve">LONGITUD: Longitud geográfica  </w:t>
            </w:r>
          </w:p>
          <w:p w14:paraId="1768E929" w14:textId="0BB1B09D" w:rsidR="0069681B" w:rsidRPr="004A6BAF" w:rsidRDefault="0032770A" w:rsidP="003277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2770A">
              <w:rPr>
                <w:rFonts w:asciiTheme="majorHAnsi" w:hAnsiTheme="majorHAnsi" w:cstheme="majorHAnsi"/>
              </w:rPr>
              <w:t>FECHA_CORTE: Fecha de actualización del registro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46A2BD4" w:rsidR="00504D0A" w:rsidRDefault="00CE544E" w:rsidP="00504D0A">
            <w:pPr>
              <w:rPr>
                <w:rFonts w:asciiTheme="majorHAnsi" w:hAnsiTheme="majorHAnsi" w:cstheme="majorHAnsi"/>
              </w:rPr>
            </w:pPr>
            <w:r w:rsidRPr="00CE544E">
              <w:rPr>
                <w:rFonts w:asciiTheme="majorHAnsi" w:hAnsiTheme="majorHAnsi" w:cstheme="majorHAnsi"/>
              </w:rPr>
              <w:t xml:space="preserve">Dirección Regional de </w:t>
            </w:r>
            <w:r w:rsidR="00B02385">
              <w:rPr>
                <w:rFonts w:asciiTheme="majorHAnsi" w:hAnsiTheme="majorHAnsi" w:cstheme="majorHAnsi"/>
              </w:rPr>
              <w:t>Educación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F19F0FB" w:rsidR="00504D0A" w:rsidRDefault="008219C4" w:rsidP="008219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8219C4">
              <w:rPr>
                <w:rFonts w:asciiTheme="majorHAnsi" w:hAnsiTheme="majorHAnsi" w:cstheme="majorHAnsi"/>
              </w:rPr>
              <w:t>an-Martín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8219C4">
              <w:rPr>
                <w:rFonts w:asciiTheme="majorHAnsi" w:hAnsiTheme="majorHAnsi" w:cstheme="majorHAnsi"/>
              </w:rPr>
              <w:t>datos-abiertos</w:t>
            </w:r>
            <w:r>
              <w:rPr>
                <w:rFonts w:asciiTheme="majorHAnsi" w:hAnsiTheme="majorHAnsi" w:cstheme="majorHAnsi"/>
              </w:rPr>
              <w:t>,</w:t>
            </w:r>
            <w:r w:rsidR="00B02385">
              <w:rPr>
                <w:rFonts w:asciiTheme="majorHAnsi" w:hAnsiTheme="majorHAnsi" w:cstheme="majorHAnsi"/>
              </w:rPr>
              <w:t xml:space="preserve"> </w:t>
            </w:r>
            <w:r w:rsidR="00033F1C" w:rsidRPr="00033F1C">
              <w:rPr>
                <w:rFonts w:asciiTheme="majorHAnsi" w:hAnsiTheme="majorHAnsi" w:cstheme="majorHAnsi"/>
              </w:rPr>
              <w:t>proyectos, inversión pública, presupuesto, ejecución presupuestal, estado del proyecto, Invierte.pe, beneficiarios, sector público, análisis territorial, planificación de inversiones, infraestructura, desarrollo regional, gestión pública, financiamiento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8052B2A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219C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2770A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2770A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1A4389F" w:rsidR="00504D0A" w:rsidRDefault="003277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72F2817" w:rsidR="00CD25C2" w:rsidRDefault="0032770A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351D5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4C858D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1173EB">
              <w:rPr>
                <w:rFonts w:asciiTheme="majorHAnsi" w:hAnsiTheme="majorHAnsi" w:cstheme="majorHAnsi"/>
              </w:rPr>
              <w:t>201</w:t>
            </w:r>
            <w:r w:rsidR="0032770A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8219C4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6351D5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3F1C"/>
    <w:rsid w:val="000D7C81"/>
    <w:rsid w:val="00116DF8"/>
    <w:rsid w:val="001173EB"/>
    <w:rsid w:val="00161C83"/>
    <w:rsid w:val="00182C03"/>
    <w:rsid w:val="001B7143"/>
    <w:rsid w:val="001E33BF"/>
    <w:rsid w:val="0020585A"/>
    <w:rsid w:val="00297BE5"/>
    <w:rsid w:val="00306482"/>
    <w:rsid w:val="0032770A"/>
    <w:rsid w:val="0035335F"/>
    <w:rsid w:val="003D0AF5"/>
    <w:rsid w:val="003D6FF9"/>
    <w:rsid w:val="003E4836"/>
    <w:rsid w:val="00462FB5"/>
    <w:rsid w:val="0048753E"/>
    <w:rsid w:val="004A6BAF"/>
    <w:rsid w:val="004E391D"/>
    <w:rsid w:val="004F1D9B"/>
    <w:rsid w:val="005017F4"/>
    <w:rsid w:val="00504D0A"/>
    <w:rsid w:val="0052138F"/>
    <w:rsid w:val="0053263F"/>
    <w:rsid w:val="00566098"/>
    <w:rsid w:val="005F2C43"/>
    <w:rsid w:val="006340C3"/>
    <w:rsid w:val="006351D5"/>
    <w:rsid w:val="00636A28"/>
    <w:rsid w:val="00647FB5"/>
    <w:rsid w:val="00682CD5"/>
    <w:rsid w:val="0069681B"/>
    <w:rsid w:val="006D2A87"/>
    <w:rsid w:val="0070589E"/>
    <w:rsid w:val="00717CED"/>
    <w:rsid w:val="00776928"/>
    <w:rsid w:val="007840A6"/>
    <w:rsid w:val="008219C4"/>
    <w:rsid w:val="00831C93"/>
    <w:rsid w:val="00876384"/>
    <w:rsid w:val="00904DBB"/>
    <w:rsid w:val="009379D2"/>
    <w:rsid w:val="0095347C"/>
    <w:rsid w:val="00962F24"/>
    <w:rsid w:val="0096619F"/>
    <w:rsid w:val="009A7FF5"/>
    <w:rsid w:val="009B0AA2"/>
    <w:rsid w:val="009C7E53"/>
    <w:rsid w:val="009D61E0"/>
    <w:rsid w:val="009F0CA5"/>
    <w:rsid w:val="00A21E12"/>
    <w:rsid w:val="00A42923"/>
    <w:rsid w:val="00AF04F7"/>
    <w:rsid w:val="00B02385"/>
    <w:rsid w:val="00B27C25"/>
    <w:rsid w:val="00B6616D"/>
    <w:rsid w:val="00B77085"/>
    <w:rsid w:val="00BE2CC3"/>
    <w:rsid w:val="00C73944"/>
    <w:rsid w:val="00C961F8"/>
    <w:rsid w:val="00CB64CC"/>
    <w:rsid w:val="00CD25C2"/>
    <w:rsid w:val="00CE544E"/>
    <w:rsid w:val="00D00322"/>
    <w:rsid w:val="00D5559D"/>
    <w:rsid w:val="00D957C7"/>
    <w:rsid w:val="00DA6578"/>
    <w:rsid w:val="00E2261B"/>
    <w:rsid w:val="00E344F7"/>
    <w:rsid w:val="00EB1A82"/>
    <w:rsid w:val="00ED351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belaunde terry</cp:lastModifiedBy>
  <cp:revision>28</cp:revision>
  <dcterms:created xsi:type="dcterms:W3CDTF">2024-04-25T13:34:00Z</dcterms:created>
  <dcterms:modified xsi:type="dcterms:W3CDTF">2025-06-26T14:41:00Z</dcterms:modified>
</cp:coreProperties>
</file>