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E9CE" w14:textId="77777777" w:rsidR="000E5879" w:rsidRPr="00717CED" w:rsidRDefault="000E5879" w:rsidP="000E587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D91338" w14:textId="2C1111EF" w:rsidR="00D025BD" w:rsidRPr="000A3903" w:rsidRDefault="000E5879" w:rsidP="000E5879">
      <w:pPr>
        <w:jc w:val="both"/>
        <w:rPr>
          <w:rFonts w:asciiTheme="majorHAnsi" w:hAnsiTheme="majorHAnsi" w:cstheme="majorHAnsi"/>
          <w:color w:val="111111"/>
          <w:shd w:val="clear" w:color="auto" w:fill="FFFFFF"/>
        </w:rPr>
      </w:pPr>
      <w:r w:rsidRPr="00333881">
        <w:rPr>
          <w:rFonts w:asciiTheme="majorHAnsi" w:hAnsiTheme="majorHAnsi" w:cstheme="majorHAnsi"/>
          <w:b/>
          <w:bCs/>
        </w:rPr>
        <w:t>Metadatos del dataset:</w:t>
      </w:r>
      <w:r>
        <w:rPr>
          <w:rFonts w:asciiTheme="majorHAnsi" w:hAnsiTheme="majorHAnsi" w:cstheme="majorHAnsi"/>
        </w:rPr>
        <w:t xml:space="preserve"> </w:t>
      </w:r>
      <w:r w:rsidR="00446C0F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64189C" w:rsidRPr="0064189C">
        <w:rPr>
          <w:rFonts w:asciiTheme="majorHAnsi" w:hAnsiTheme="majorHAnsi" w:cstheme="majorHAnsi"/>
          <w:color w:val="111111"/>
          <w:shd w:val="clear" w:color="auto" w:fill="FFFFFF"/>
        </w:rPr>
        <w:t xml:space="preserve">Transferencias </w:t>
      </w:r>
      <w:r w:rsidR="00326E14">
        <w:rPr>
          <w:rFonts w:asciiTheme="majorHAnsi" w:hAnsiTheme="majorHAnsi" w:cstheme="majorHAnsi"/>
          <w:color w:val="111111"/>
          <w:shd w:val="clear" w:color="auto" w:fill="FFFFFF"/>
        </w:rPr>
        <w:t>f</w:t>
      </w:r>
      <w:r w:rsidR="0064189C" w:rsidRPr="0064189C">
        <w:rPr>
          <w:rFonts w:asciiTheme="majorHAnsi" w:hAnsiTheme="majorHAnsi" w:cstheme="majorHAnsi"/>
          <w:color w:val="111111"/>
          <w:shd w:val="clear" w:color="auto" w:fill="FFFFFF"/>
        </w:rPr>
        <w:t>inancieras del Organismo Técnico de la Administración de los Servicios de Saneamiento – OTASS</w:t>
      </w:r>
      <w:r w:rsidR="009817FB">
        <w:rPr>
          <w:rFonts w:asciiTheme="majorHAnsi" w:hAnsiTheme="majorHAnsi" w:cstheme="majorHAnsi"/>
          <w:color w:val="111111"/>
          <w:shd w:val="clear" w:color="auto" w:fill="FFFFFF"/>
        </w:rPr>
        <w:t>,</w:t>
      </w:r>
      <w:r w:rsidR="0064189C" w:rsidRPr="0064189C">
        <w:rPr>
          <w:rFonts w:asciiTheme="majorHAnsi" w:hAnsiTheme="majorHAnsi" w:cstheme="majorHAnsi"/>
          <w:color w:val="111111"/>
          <w:shd w:val="clear" w:color="auto" w:fill="FFFFFF"/>
        </w:rPr>
        <w:t xml:space="preserve"> a favor de Empresas Prestadoras de Servicios </w:t>
      </w:r>
      <w:r w:rsidR="0064189C">
        <w:rPr>
          <w:rFonts w:asciiTheme="majorHAnsi" w:hAnsiTheme="majorHAnsi" w:cstheme="majorHAnsi"/>
          <w:color w:val="111111"/>
          <w:shd w:val="clear" w:color="auto" w:fill="FFFFFF"/>
        </w:rPr>
        <w:t>–</w:t>
      </w:r>
      <w:r w:rsidR="0064189C" w:rsidRPr="0064189C">
        <w:rPr>
          <w:rFonts w:asciiTheme="majorHAnsi" w:hAnsiTheme="majorHAnsi" w:cstheme="majorHAnsi"/>
          <w:color w:val="111111"/>
          <w:shd w:val="clear" w:color="auto" w:fill="FFFFFF"/>
        </w:rPr>
        <w:t xml:space="preserve"> EPS</w:t>
      </w:r>
      <w:r w:rsidR="0064189C">
        <w:rPr>
          <w:rFonts w:asciiTheme="majorHAnsi" w:hAnsiTheme="majorHAnsi" w:cstheme="majorHAnsi"/>
          <w:color w:val="111111"/>
          <w:shd w:val="clear" w:color="auto" w:fill="FFFFFF"/>
        </w:rPr>
        <w:t>.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413"/>
        <w:gridCol w:w="8647"/>
      </w:tblGrid>
      <w:tr w:rsidR="001B420F" w14:paraId="6B41C7E8" w14:textId="77777777" w:rsidTr="00BD185E">
        <w:trPr>
          <w:trHeight w:val="326"/>
        </w:trPr>
        <w:tc>
          <w:tcPr>
            <w:tcW w:w="1413" w:type="dxa"/>
            <w:vAlign w:val="center"/>
          </w:tcPr>
          <w:p w14:paraId="0EDA67C2" w14:textId="77777777" w:rsidR="000E5879" w:rsidRPr="00C07D2F" w:rsidRDefault="000E5879" w:rsidP="00420C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7D2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8647" w:type="dxa"/>
          </w:tcPr>
          <w:p w14:paraId="6BCB2470" w14:textId="159EF678" w:rsidR="000E5879" w:rsidRPr="004C2A9D" w:rsidRDefault="004C2A9D" w:rsidP="001B420F">
            <w:pPr>
              <w:jc w:val="both"/>
              <w:rPr>
                <w:rFonts w:asciiTheme="majorHAnsi" w:hAnsiTheme="majorHAnsi" w:cstheme="majorHAnsi"/>
              </w:rPr>
            </w:pPr>
            <w:r w:rsidRPr="004C2A9D">
              <w:rPr>
                <w:rFonts w:asciiTheme="majorHAnsi" w:hAnsiTheme="majorHAnsi" w:cstheme="majorHAnsi"/>
              </w:rPr>
              <w:t xml:space="preserve">Transferencias financieras realizadas a las Empresas Prestadoras de Servicio - EPS durante los años 2017-2025, por parte del Organismo Técnico de la Administración de los </w:t>
            </w:r>
            <w:r w:rsidR="009817FB">
              <w:rPr>
                <w:rFonts w:asciiTheme="majorHAnsi" w:hAnsiTheme="majorHAnsi" w:cstheme="majorHAnsi"/>
              </w:rPr>
              <w:t>S</w:t>
            </w:r>
            <w:r w:rsidRPr="004C2A9D">
              <w:rPr>
                <w:rFonts w:asciiTheme="majorHAnsi" w:hAnsiTheme="majorHAnsi" w:cstheme="majorHAnsi"/>
              </w:rPr>
              <w:t>ervicios de Saneamiento – OTASS.</w:t>
            </w:r>
          </w:p>
        </w:tc>
      </w:tr>
      <w:tr w:rsidR="001B420F" w14:paraId="51208B9D" w14:textId="77777777" w:rsidTr="00BD185E">
        <w:trPr>
          <w:trHeight w:val="224"/>
        </w:trPr>
        <w:tc>
          <w:tcPr>
            <w:tcW w:w="1413" w:type="dxa"/>
            <w:vAlign w:val="center"/>
          </w:tcPr>
          <w:p w14:paraId="559F0CC9" w14:textId="77777777" w:rsidR="000E5879" w:rsidRPr="00C07D2F" w:rsidRDefault="000E5879" w:rsidP="00420C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7D2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8647" w:type="dxa"/>
          </w:tcPr>
          <w:p w14:paraId="75C63D09" w14:textId="230C7204" w:rsidR="00162E26" w:rsidRDefault="004C2A9D" w:rsidP="001B547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transferencias-financieras-otass-eps-2017-2025</w:t>
            </w:r>
          </w:p>
        </w:tc>
      </w:tr>
      <w:tr w:rsidR="001B420F" w14:paraId="4E9EB80F" w14:textId="77777777" w:rsidTr="00BD185E">
        <w:trPr>
          <w:trHeight w:val="3524"/>
        </w:trPr>
        <w:tc>
          <w:tcPr>
            <w:tcW w:w="1413" w:type="dxa"/>
            <w:vAlign w:val="center"/>
          </w:tcPr>
          <w:p w14:paraId="6898DDED" w14:textId="77777777" w:rsidR="000E5879" w:rsidRPr="00C07D2F" w:rsidRDefault="000E5879" w:rsidP="00420C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7D2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8647" w:type="dxa"/>
          </w:tcPr>
          <w:p w14:paraId="710CAEC1" w14:textId="4E3548E5" w:rsidR="004C2A9D" w:rsidRPr="00EE7514" w:rsidRDefault="00741811" w:rsidP="00B048D2">
            <w:pPr>
              <w:jc w:val="both"/>
              <w:rPr>
                <w:rFonts w:asciiTheme="majorHAnsi" w:hAnsiTheme="majorHAnsi" w:cstheme="majorHAnsi"/>
              </w:rPr>
            </w:pPr>
            <w:r w:rsidRPr="001B5475">
              <w:rPr>
                <w:rFonts w:asciiTheme="majorHAnsi" w:hAnsiTheme="majorHAnsi" w:cstheme="majorHAnsi"/>
              </w:rPr>
              <w:t xml:space="preserve">El dataset es un </w:t>
            </w:r>
            <w:r w:rsidR="000245A7">
              <w:rPr>
                <w:rFonts w:asciiTheme="majorHAnsi" w:hAnsiTheme="majorHAnsi" w:cstheme="majorHAnsi"/>
              </w:rPr>
              <w:t>listado</w:t>
            </w:r>
            <w:r w:rsidRPr="001B5475">
              <w:rPr>
                <w:rFonts w:asciiTheme="majorHAnsi" w:hAnsiTheme="majorHAnsi" w:cstheme="majorHAnsi"/>
              </w:rPr>
              <w:t xml:space="preserve"> de la</w:t>
            </w:r>
            <w:r w:rsidRPr="00EE7514">
              <w:rPr>
                <w:rFonts w:asciiTheme="majorHAnsi" w:hAnsiTheme="majorHAnsi" w:cstheme="majorHAnsi"/>
              </w:rPr>
              <w:t xml:space="preserve">s transferencias financieras que realiza el </w:t>
            </w:r>
            <w:r w:rsidR="00326170" w:rsidRPr="00EE7514">
              <w:rPr>
                <w:rFonts w:asciiTheme="majorHAnsi" w:hAnsiTheme="majorHAnsi" w:cstheme="majorHAnsi"/>
              </w:rPr>
              <w:t xml:space="preserve">OTASS, </w:t>
            </w:r>
            <w:r w:rsidRPr="00EE7514">
              <w:rPr>
                <w:rFonts w:asciiTheme="majorHAnsi" w:hAnsiTheme="majorHAnsi" w:cstheme="majorHAnsi"/>
              </w:rPr>
              <w:t>a favor de las EPS de agua potable y saneamiento públicas de accionariado municipal.</w:t>
            </w:r>
            <w:r w:rsidR="00055177" w:rsidRPr="00EE7514">
              <w:rPr>
                <w:rFonts w:asciiTheme="majorHAnsi" w:hAnsiTheme="majorHAnsi" w:cstheme="majorHAnsi"/>
              </w:rPr>
              <w:t xml:space="preserve"> </w:t>
            </w:r>
          </w:p>
          <w:p w14:paraId="3B5665E1" w14:textId="6CE876BF" w:rsidR="00BF3799" w:rsidRPr="00EE7514" w:rsidRDefault="006D10A9" w:rsidP="00BF379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7514">
              <w:rPr>
                <w:rFonts w:asciiTheme="majorHAnsi" w:hAnsiTheme="majorHAnsi" w:cstheme="majorHAnsi"/>
              </w:rPr>
              <w:t>La</w:t>
            </w:r>
            <w:r w:rsidR="00055177" w:rsidRPr="00EE7514">
              <w:rPr>
                <w:rFonts w:asciiTheme="majorHAnsi" w:hAnsiTheme="majorHAnsi" w:cstheme="majorHAnsi"/>
              </w:rPr>
              <w:t>s</w:t>
            </w:r>
            <w:r w:rsidRPr="00EE7514">
              <w:rPr>
                <w:rFonts w:asciiTheme="majorHAnsi" w:hAnsiTheme="majorHAnsi" w:cstheme="majorHAnsi"/>
              </w:rPr>
              <w:t xml:space="preserve"> transferencia</w:t>
            </w:r>
            <w:r w:rsidR="00055177" w:rsidRPr="00EE7514">
              <w:rPr>
                <w:rFonts w:asciiTheme="majorHAnsi" w:hAnsiTheme="majorHAnsi" w:cstheme="majorHAnsi"/>
              </w:rPr>
              <w:t>s</w:t>
            </w:r>
            <w:r w:rsidRPr="00EE7514">
              <w:rPr>
                <w:rFonts w:asciiTheme="majorHAnsi" w:hAnsiTheme="majorHAnsi" w:cstheme="majorHAnsi"/>
              </w:rPr>
              <w:t xml:space="preserve"> financiera</w:t>
            </w:r>
            <w:r w:rsidR="00055177" w:rsidRPr="00EE7514">
              <w:rPr>
                <w:rFonts w:asciiTheme="majorHAnsi" w:hAnsiTheme="majorHAnsi" w:cstheme="majorHAnsi"/>
              </w:rPr>
              <w:t>s</w:t>
            </w:r>
            <w:r w:rsidRPr="00EE7514">
              <w:rPr>
                <w:rFonts w:asciiTheme="majorHAnsi" w:hAnsiTheme="majorHAnsi" w:cstheme="majorHAnsi"/>
              </w:rPr>
              <w:t xml:space="preserve"> </w:t>
            </w:r>
            <w:r w:rsidR="00BF3799" w:rsidRPr="00EE7514">
              <w:rPr>
                <w:rFonts w:asciiTheme="majorHAnsi" w:hAnsiTheme="majorHAnsi" w:cstheme="majorHAnsi"/>
              </w:rPr>
              <w:t>tienen por finalidad el gasto priorizado para la ejecución de una intervención (Inversión o Actividad) orientado a resolver un problema identificado de un servicio público, establecido en la estructura funcional programática del dispositivo legal o norma que lo autoriza; y se destinan para el financiamiento de la intervención enmarcada en los siguientes rubros:</w:t>
            </w:r>
          </w:p>
          <w:p w14:paraId="33CC7FEF" w14:textId="735C69DE" w:rsidR="006D10A9" w:rsidRPr="00EE7514" w:rsidRDefault="006D10A9" w:rsidP="00B048D2">
            <w:pPr>
              <w:pStyle w:val="Prrafodelista"/>
              <w:numPr>
                <w:ilvl w:val="0"/>
                <w:numId w:val="5"/>
              </w:numPr>
              <w:ind w:left="261" w:hanging="26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7514">
              <w:rPr>
                <w:rFonts w:asciiTheme="majorHAnsi" w:hAnsiTheme="majorHAnsi" w:cstheme="majorHAnsi"/>
                <w:sz w:val="20"/>
                <w:szCs w:val="20"/>
              </w:rPr>
              <w:t>Fortalecimiento de capacidades, para contribuir a mejorar la gestión operacional, gestión comercial, gestión administrativa, gestión institucional, gestión empresarial, gestión económico-financiera y gestión del recurso humano, en la EPS de acuerdo con los Lineamientos Estratégicos del Fortalecimiento Capacidades o la normativa vigente de la materia.</w:t>
            </w:r>
          </w:p>
          <w:p w14:paraId="1B7403A8" w14:textId="3AEC7544" w:rsidR="006D10A9" w:rsidRPr="00EE7514" w:rsidRDefault="006D10A9" w:rsidP="00B048D2">
            <w:pPr>
              <w:pStyle w:val="Prrafodelista"/>
              <w:numPr>
                <w:ilvl w:val="0"/>
                <w:numId w:val="5"/>
              </w:numPr>
              <w:ind w:left="261" w:hanging="26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7514">
              <w:rPr>
                <w:rFonts w:asciiTheme="majorHAnsi" w:hAnsiTheme="majorHAnsi" w:cstheme="majorHAnsi"/>
                <w:sz w:val="20"/>
                <w:szCs w:val="20"/>
              </w:rPr>
              <w:t>Integración de prestadores e integración de operaciones y procesos para mejorar la gestión operativa, comercial y administrativa en la prestación de los servicios de saneamiento.</w:t>
            </w:r>
          </w:p>
          <w:p w14:paraId="0A69F124" w14:textId="07DDDE66" w:rsidR="006D10A9" w:rsidRPr="00EE7514" w:rsidRDefault="006D10A9" w:rsidP="00B048D2">
            <w:pPr>
              <w:pStyle w:val="Prrafodelista"/>
              <w:numPr>
                <w:ilvl w:val="0"/>
                <w:numId w:val="5"/>
              </w:numPr>
              <w:ind w:left="261" w:hanging="26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7514">
              <w:rPr>
                <w:rFonts w:asciiTheme="majorHAnsi" w:hAnsiTheme="majorHAnsi" w:cstheme="majorHAnsi"/>
                <w:sz w:val="20"/>
                <w:szCs w:val="20"/>
              </w:rPr>
              <w:t>Fortalecimiento de capacidades e incentivos para la integración de prestadores e integración de operaciones y procesos, orientados a la mejora de los servicios de agua potable y saneamiento.</w:t>
            </w:r>
          </w:p>
          <w:p w14:paraId="1D54A8B4" w14:textId="2D8B99B4" w:rsidR="006D10A9" w:rsidRPr="00EE7514" w:rsidRDefault="006D10A9" w:rsidP="00B048D2">
            <w:pPr>
              <w:pStyle w:val="Prrafodelista"/>
              <w:numPr>
                <w:ilvl w:val="0"/>
                <w:numId w:val="5"/>
              </w:numPr>
              <w:ind w:left="261" w:hanging="26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7514">
              <w:rPr>
                <w:rFonts w:asciiTheme="majorHAnsi" w:hAnsiTheme="majorHAnsi" w:cstheme="majorHAnsi"/>
                <w:sz w:val="20"/>
                <w:szCs w:val="20"/>
              </w:rPr>
              <w:t>Acciones Inmediatas, que permite recuperar las capacidades mínimas para la operación y la prestación de los servicios de saneamiento.</w:t>
            </w:r>
          </w:p>
          <w:p w14:paraId="53D8C4D3" w14:textId="6B9C177F" w:rsidR="006D10A9" w:rsidRPr="00EE7514" w:rsidRDefault="006D10A9" w:rsidP="00B048D2">
            <w:pPr>
              <w:pStyle w:val="Prrafodelista"/>
              <w:numPr>
                <w:ilvl w:val="0"/>
                <w:numId w:val="5"/>
              </w:numPr>
              <w:ind w:left="261" w:hanging="26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7514">
              <w:rPr>
                <w:rFonts w:asciiTheme="majorHAnsi" w:hAnsiTheme="majorHAnsi" w:cstheme="majorHAnsi"/>
                <w:sz w:val="20"/>
                <w:szCs w:val="20"/>
              </w:rPr>
              <w:t>Implementación del Plan de Reflotamiento.</w:t>
            </w:r>
          </w:p>
          <w:p w14:paraId="30BA8FE4" w14:textId="4938BD48" w:rsidR="006D10A9" w:rsidRPr="00EE7514" w:rsidRDefault="006D10A9" w:rsidP="00B048D2">
            <w:pPr>
              <w:pStyle w:val="Prrafodelista"/>
              <w:numPr>
                <w:ilvl w:val="0"/>
                <w:numId w:val="5"/>
              </w:numPr>
              <w:ind w:left="261" w:hanging="26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7514">
              <w:rPr>
                <w:rFonts w:asciiTheme="majorHAnsi" w:hAnsiTheme="majorHAnsi" w:cstheme="majorHAnsi"/>
                <w:sz w:val="20"/>
                <w:szCs w:val="20"/>
              </w:rPr>
              <w:t>Fortalecimiento de capacidades de la EPS y demás prestadores del ámbito urbano, en la implementación de los procesos de prevención y reducción de la gestión del riesgo de desastres.</w:t>
            </w:r>
          </w:p>
          <w:p w14:paraId="2BD82E10" w14:textId="72CDF5BE" w:rsidR="006D10A9" w:rsidRPr="00EE7514" w:rsidRDefault="006D10A9" w:rsidP="00911BD5">
            <w:pPr>
              <w:pStyle w:val="Prrafodelista"/>
              <w:numPr>
                <w:ilvl w:val="0"/>
                <w:numId w:val="5"/>
              </w:numPr>
              <w:ind w:left="261" w:hanging="26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7514">
              <w:rPr>
                <w:rFonts w:asciiTheme="majorHAnsi" w:hAnsiTheme="majorHAnsi" w:cstheme="majorHAnsi"/>
                <w:sz w:val="20"/>
                <w:szCs w:val="20"/>
              </w:rPr>
              <w:t>Implementación de investigación, desarrollo e innovación, orientadas a mejorar la gestión de los prestadores de servicios en el ámbito urbano.</w:t>
            </w:r>
            <w:r w:rsidR="00275E8F" w:rsidRPr="00EE751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75E8F" w:rsidRPr="00EE7514">
              <w:rPr>
                <w:rFonts w:asciiTheme="majorHAnsi" w:hAnsiTheme="majorHAnsi" w:cstheme="majorHAnsi"/>
                <w:sz w:val="16"/>
                <w:szCs w:val="16"/>
              </w:rPr>
              <w:t>(*)</w:t>
            </w:r>
          </w:p>
          <w:p w14:paraId="0316D0E7" w14:textId="77777777" w:rsidR="00275E8F" w:rsidRPr="00C07D2F" w:rsidRDefault="00275E8F" w:rsidP="00C07D2F">
            <w:pPr>
              <w:jc w:val="both"/>
              <w:rPr>
                <w:rFonts w:asciiTheme="majorHAnsi" w:hAnsiTheme="majorHAnsi" w:cstheme="majorHAnsi"/>
                <w:sz w:val="20"/>
                <w:szCs w:val="20"/>
                <w:highlight w:val="cyan"/>
              </w:rPr>
            </w:pPr>
          </w:p>
          <w:p w14:paraId="3353027F" w14:textId="43A3FC80" w:rsidR="00741811" w:rsidRPr="00BD185E" w:rsidRDefault="00EE7514" w:rsidP="00BD185E">
            <w:pPr>
              <w:jc w:val="both"/>
              <w:rPr>
                <w:rFonts w:asciiTheme="majorHAnsi" w:hAnsiTheme="majorHAnsi" w:cstheme="majorHAnsi"/>
              </w:rPr>
            </w:pPr>
            <w:r w:rsidRPr="00BD185E">
              <w:rPr>
                <w:rFonts w:asciiTheme="majorHAnsi" w:hAnsiTheme="majorHAnsi" w:cstheme="majorHAnsi"/>
              </w:rPr>
              <w:t xml:space="preserve">En el dataset, </w:t>
            </w:r>
            <w:r w:rsidR="00C07D2F" w:rsidRPr="00BD185E">
              <w:rPr>
                <w:rFonts w:asciiTheme="majorHAnsi" w:hAnsiTheme="majorHAnsi" w:cstheme="majorHAnsi"/>
              </w:rPr>
              <w:t>la</w:t>
            </w:r>
            <w:r w:rsidR="00741811" w:rsidRPr="00BD185E">
              <w:rPr>
                <w:rFonts w:asciiTheme="majorHAnsi" w:hAnsiTheme="majorHAnsi" w:cstheme="majorHAnsi"/>
              </w:rPr>
              <w:t>s transferencias financieras están caracterizadas por</w:t>
            </w:r>
            <w:r w:rsidRPr="00BD185E">
              <w:rPr>
                <w:rFonts w:asciiTheme="majorHAnsi" w:hAnsiTheme="majorHAnsi" w:cstheme="majorHAnsi"/>
              </w:rPr>
              <w:t xml:space="preserve"> los campos</w:t>
            </w:r>
            <w:r w:rsidR="00741811" w:rsidRPr="00BD185E">
              <w:rPr>
                <w:rFonts w:asciiTheme="majorHAnsi" w:hAnsiTheme="majorHAnsi" w:cstheme="majorHAnsi"/>
              </w:rPr>
              <w:t>:</w:t>
            </w:r>
          </w:p>
          <w:p w14:paraId="6614AB42" w14:textId="4AD0C30E" w:rsidR="00C8487F" w:rsidRPr="00BD185E" w:rsidRDefault="00B048D2" w:rsidP="00BD185E">
            <w:pPr>
              <w:jc w:val="both"/>
              <w:rPr>
                <w:rFonts w:asciiTheme="majorHAnsi" w:eastAsia="Times New Roman" w:hAnsiTheme="majorHAnsi" w:cstheme="majorHAnsi"/>
                <w:lang w:eastAsia="es-PE"/>
              </w:rPr>
            </w:pPr>
            <w:r w:rsidRPr="00BD185E">
              <w:rPr>
                <w:rFonts w:asciiTheme="majorHAnsi" w:eastAsia="Times New Roman" w:hAnsiTheme="majorHAnsi" w:cstheme="majorHAnsi"/>
                <w:lang w:eastAsia="es-PE"/>
              </w:rPr>
              <w:t xml:space="preserve">Año de la Transferencia, </w:t>
            </w:r>
            <w:r w:rsidR="003C2FDB">
              <w:rPr>
                <w:rFonts w:asciiTheme="majorHAnsi" w:eastAsia="Times New Roman" w:hAnsiTheme="majorHAnsi" w:cstheme="majorHAnsi"/>
                <w:lang w:eastAsia="es-PE"/>
              </w:rPr>
              <w:t xml:space="preserve">Fecha de Corte, </w:t>
            </w:r>
            <w:r w:rsidR="00485759" w:rsidRPr="00BD185E">
              <w:rPr>
                <w:rFonts w:asciiTheme="majorHAnsi" w:eastAsia="Times New Roman" w:hAnsiTheme="majorHAnsi" w:cstheme="majorHAnsi"/>
                <w:lang w:eastAsia="es-PE"/>
              </w:rPr>
              <w:t xml:space="preserve">Nombre de la EPS, </w:t>
            </w:r>
            <w:r w:rsidR="00B21F8C" w:rsidRPr="00BD185E">
              <w:rPr>
                <w:rFonts w:asciiTheme="majorHAnsi" w:eastAsia="Times New Roman" w:hAnsiTheme="majorHAnsi" w:cstheme="majorHAnsi"/>
                <w:lang w:eastAsia="es-PE"/>
              </w:rPr>
              <w:t xml:space="preserve">Numero, Descripción y Estado de </w:t>
            </w:r>
            <w:r w:rsidR="004C1A87" w:rsidRPr="00BD185E">
              <w:rPr>
                <w:rFonts w:asciiTheme="majorHAnsi" w:eastAsia="Times New Roman" w:hAnsiTheme="majorHAnsi" w:cstheme="majorHAnsi"/>
                <w:lang w:eastAsia="es-PE"/>
              </w:rPr>
              <w:t>F</w:t>
            </w:r>
            <w:r w:rsidRPr="00BD185E">
              <w:rPr>
                <w:rFonts w:asciiTheme="majorHAnsi" w:eastAsia="Times New Roman" w:hAnsiTheme="majorHAnsi" w:cstheme="majorHAnsi"/>
                <w:lang w:eastAsia="es-PE"/>
              </w:rPr>
              <w:t>icha Técnica,</w:t>
            </w:r>
            <w:r w:rsidR="00B21F8C" w:rsidRPr="00BD185E">
              <w:rPr>
                <w:rFonts w:asciiTheme="majorHAnsi" w:eastAsia="Times New Roman" w:hAnsiTheme="majorHAnsi" w:cstheme="majorHAnsi"/>
                <w:lang w:eastAsia="es-PE"/>
              </w:rPr>
              <w:t xml:space="preserve"> Tipo de Transferencia</w:t>
            </w:r>
            <w:r w:rsidRPr="00BD185E">
              <w:rPr>
                <w:rFonts w:asciiTheme="majorHAnsi" w:eastAsia="Times New Roman" w:hAnsiTheme="majorHAnsi" w:cstheme="majorHAnsi"/>
                <w:lang w:eastAsia="es-PE"/>
              </w:rPr>
              <w:t>, Monto Transferido</w:t>
            </w:r>
            <w:r w:rsidR="00B21F8C" w:rsidRPr="00BD185E">
              <w:rPr>
                <w:rFonts w:asciiTheme="majorHAnsi" w:eastAsia="Times New Roman" w:hAnsiTheme="majorHAnsi" w:cstheme="majorHAnsi"/>
                <w:lang w:eastAsia="es-PE"/>
              </w:rPr>
              <w:t xml:space="preserve"> y</w:t>
            </w:r>
            <w:r w:rsidR="004C1A87" w:rsidRPr="00BD185E">
              <w:rPr>
                <w:rFonts w:asciiTheme="majorHAnsi" w:eastAsia="Times New Roman" w:hAnsiTheme="majorHAnsi" w:cstheme="majorHAnsi"/>
                <w:lang w:eastAsia="es-PE"/>
              </w:rPr>
              <w:t xml:space="preserve"> Monto Ejecutado</w:t>
            </w:r>
            <w:r w:rsidR="00617A86" w:rsidRPr="00BD185E">
              <w:rPr>
                <w:rFonts w:asciiTheme="majorHAnsi" w:eastAsia="Times New Roman" w:hAnsiTheme="majorHAnsi" w:cstheme="majorHAnsi"/>
                <w:lang w:eastAsia="es-PE"/>
              </w:rPr>
              <w:t>. Asimismo, l</w:t>
            </w:r>
            <w:r w:rsidR="00326170" w:rsidRPr="00BD185E">
              <w:rPr>
                <w:rFonts w:asciiTheme="majorHAnsi" w:eastAsia="Times New Roman" w:hAnsiTheme="majorHAnsi" w:cstheme="majorHAnsi"/>
                <w:lang w:eastAsia="es-PE"/>
              </w:rPr>
              <w:t xml:space="preserve">a información </w:t>
            </w:r>
            <w:r w:rsidR="00617A86" w:rsidRPr="00BD185E">
              <w:rPr>
                <w:rFonts w:asciiTheme="majorHAnsi" w:eastAsia="Times New Roman" w:hAnsiTheme="majorHAnsi" w:cstheme="majorHAnsi"/>
                <w:lang w:eastAsia="es-PE"/>
              </w:rPr>
              <w:t>presentada</w:t>
            </w:r>
            <w:r w:rsidR="004C2A9D" w:rsidRPr="00BD185E">
              <w:rPr>
                <w:rFonts w:asciiTheme="majorHAnsi" w:eastAsia="Times New Roman" w:hAnsiTheme="majorHAnsi" w:cstheme="majorHAnsi"/>
                <w:lang w:eastAsia="es-PE"/>
              </w:rPr>
              <w:t xml:space="preserve"> </w:t>
            </w:r>
            <w:r w:rsidR="00326170" w:rsidRPr="00BD185E">
              <w:rPr>
                <w:rFonts w:asciiTheme="majorHAnsi" w:eastAsia="Times New Roman" w:hAnsiTheme="majorHAnsi" w:cstheme="majorHAnsi"/>
                <w:lang w:eastAsia="es-PE"/>
              </w:rPr>
              <w:t xml:space="preserve">tiene fecha de corte al 01 de junio del 2025 </w:t>
            </w:r>
            <w:r w:rsidR="00617A86" w:rsidRPr="00BD185E">
              <w:rPr>
                <w:rFonts w:asciiTheme="majorHAnsi" w:eastAsia="Times New Roman" w:hAnsiTheme="majorHAnsi" w:cstheme="majorHAnsi"/>
                <w:lang w:eastAsia="es-PE"/>
              </w:rPr>
              <w:t>y contiene</w:t>
            </w:r>
            <w:r w:rsidR="00326170" w:rsidRPr="00BD185E">
              <w:rPr>
                <w:rFonts w:asciiTheme="majorHAnsi" w:eastAsia="Times New Roman" w:hAnsiTheme="majorHAnsi" w:cstheme="majorHAnsi"/>
                <w:lang w:eastAsia="es-PE"/>
              </w:rPr>
              <w:t xml:space="preserve"> las trasferencias financieras en estado “Cerrado”</w:t>
            </w:r>
            <w:r w:rsidR="004C2A9D" w:rsidRPr="00BD185E">
              <w:rPr>
                <w:rFonts w:asciiTheme="majorHAnsi" w:eastAsia="Times New Roman" w:hAnsiTheme="majorHAnsi" w:cstheme="majorHAnsi"/>
                <w:lang w:eastAsia="es-PE"/>
              </w:rPr>
              <w:t xml:space="preserve">, </w:t>
            </w:r>
            <w:r w:rsidR="00617A86" w:rsidRPr="00BD185E">
              <w:rPr>
                <w:rFonts w:asciiTheme="majorHAnsi" w:eastAsia="Times New Roman" w:hAnsiTheme="majorHAnsi" w:cstheme="majorHAnsi"/>
                <w:lang w:eastAsia="es-PE"/>
              </w:rPr>
              <w:t xml:space="preserve">(estado </w:t>
            </w:r>
            <w:r w:rsidR="00BD185E" w:rsidRPr="00BD185E">
              <w:rPr>
                <w:rFonts w:asciiTheme="majorHAnsi" w:eastAsia="Times New Roman" w:hAnsiTheme="majorHAnsi" w:cstheme="majorHAnsi"/>
                <w:lang w:eastAsia="es-PE"/>
              </w:rPr>
              <w:t>a</w:t>
            </w:r>
            <w:r w:rsidR="00617A86" w:rsidRPr="00BD185E">
              <w:rPr>
                <w:rFonts w:asciiTheme="majorHAnsi" w:eastAsia="Times New Roman" w:hAnsiTheme="majorHAnsi" w:cstheme="majorHAnsi"/>
                <w:lang w:eastAsia="es-PE"/>
              </w:rPr>
              <w:t>signado por el aplicativo informático</w:t>
            </w:r>
            <w:r w:rsidR="00BD185E" w:rsidRPr="00BD185E">
              <w:rPr>
                <w:rFonts w:asciiTheme="majorHAnsi" w:eastAsia="Times New Roman" w:hAnsiTheme="majorHAnsi" w:cstheme="majorHAnsi"/>
                <w:lang w:eastAsia="es-PE"/>
              </w:rPr>
              <w:t xml:space="preserve"> cuando se cuenta con el documento que acredite el último registro contable de los saldos financieros de la intervención, porque no ha sido ejecutada o porque ha sido evaluada.</w:t>
            </w:r>
            <w:r w:rsidR="00617A86" w:rsidRPr="00BD185E">
              <w:rPr>
                <w:rFonts w:asciiTheme="majorHAnsi" w:eastAsia="Times New Roman" w:hAnsiTheme="majorHAnsi" w:cstheme="majorHAnsi"/>
                <w:lang w:eastAsia="es-PE"/>
              </w:rPr>
              <w:t>)</w:t>
            </w:r>
          </w:p>
          <w:p w14:paraId="1010000D" w14:textId="77777777" w:rsidR="00BD185E" w:rsidRPr="00BD185E" w:rsidRDefault="00BD185E" w:rsidP="00BD185E">
            <w:pPr>
              <w:jc w:val="both"/>
              <w:rPr>
                <w:rFonts w:asciiTheme="majorHAnsi" w:eastAsia="Times New Roman" w:hAnsiTheme="majorHAnsi" w:cstheme="majorHAnsi"/>
                <w:lang w:eastAsia="es-PE"/>
              </w:rPr>
            </w:pPr>
          </w:p>
          <w:p w14:paraId="31D189C2" w14:textId="03E8A830" w:rsidR="00C8487F" w:rsidRPr="00B048D2" w:rsidRDefault="00275E8F" w:rsidP="00C07D2F">
            <w:pPr>
              <w:jc w:val="both"/>
              <w:rPr>
                <w:rFonts w:asciiTheme="majorHAnsi" w:hAnsiTheme="majorHAnsi" w:cstheme="majorHAnsi"/>
              </w:rPr>
            </w:pPr>
            <w:r w:rsidRPr="00BD185E">
              <w:rPr>
                <w:rFonts w:asciiTheme="majorHAnsi" w:hAnsiTheme="majorHAnsi" w:cstheme="majorHAnsi"/>
                <w:sz w:val="16"/>
                <w:szCs w:val="16"/>
              </w:rPr>
              <w:t>(*) Fuente: Directiva “Disposiciones para la aprobación, seguimiento, monitoreo, liquidación y evaluación de las transferencias financieras que realiza el Organismo Técnico de la Administración de los Servicios de Saneamiento a favor de las Empresas Prestadoras de Servicios de Agua Potable y Saneamiento Públicas de Accionariado Municipal”, Versión 1</w:t>
            </w:r>
            <w:r w:rsidR="00BD185E" w:rsidRPr="00BD185E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</w:tr>
      <w:tr w:rsidR="001B420F" w14:paraId="74652C6E" w14:textId="77777777" w:rsidTr="00BD185E">
        <w:trPr>
          <w:trHeight w:val="265"/>
        </w:trPr>
        <w:tc>
          <w:tcPr>
            <w:tcW w:w="1413" w:type="dxa"/>
            <w:vAlign w:val="center"/>
          </w:tcPr>
          <w:p w14:paraId="3A07F675" w14:textId="77777777" w:rsidR="000E5879" w:rsidRPr="00C07D2F" w:rsidRDefault="000E5879" w:rsidP="00420C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7D2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8647" w:type="dxa"/>
          </w:tcPr>
          <w:p w14:paraId="5E86CCA1" w14:textId="569925EA" w:rsidR="000E5879" w:rsidRDefault="001B420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Organismo Técnico </w:t>
            </w:r>
            <w:r w:rsidR="001B5475">
              <w:rPr>
                <w:rFonts w:asciiTheme="majorHAnsi" w:hAnsiTheme="majorHAnsi" w:cstheme="majorHAnsi"/>
              </w:rPr>
              <w:t xml:space="preserve">de la </w:t>
            </w:r>
            <w:r>
              <w:rPr>
                <w:rFonts w:asciiTheme="majorHAnsi" w:hAnsiTheme="majorHAnsi" w:cstheme="majorHAnsi"/>
              </w:rPr>
              <w:t xml:space="preserve">Administración </w:t>
            </w:r>
            <w:r w:rsidR="001B5475">
              <w:rPr>
                <w:rFonts w:asciiTheme="majorHAnsi" w:hAnsiTheme="majorHAnsi" w:cstheme="majorHAnsi"/>
              </w:rPr>
              <w:t xml:space="preserve">de los </w:t>
            </w:r>
            <w:r>
              <w:rPr>
                <w:rFonts w:asciiTheme="majorHAnsi" w:hAnsiTheme="majorHAnsi" w:cstheme="majorHAnsi"/>
              </w:rPr>
              <w:t xml:space="preserve">Servicios </w:t>
            </w:r>
            <w:r w:rsidR="001B5475">
              <w:rPr>
                <w:rFonts w:asciiTheme="majorHAnsi" w:hAnsiTheme="majorHAnsi" w:cstheme="majorHAnsi"/>
              </w:rPr>
              <w:t>d</w:t>
            </w:r>
            <w:r>
              <w:rPr>
                <w:rFonts w:asciiTheme="majorHAnsi" w:hAnsiTheme="majorHAnsi" w:cstheme="majorHAnsi"/>
              </w:rPr>
              <w:t>e Saneamiento</w:t>
            </w:r>
          </w:p>
        </w:tc>
      </w:tr>
      <w:tr w:rsidR="001B420F" w14:paraId="39C796EE" w14:textId="77777777" w:rsidTr="00BD185E">
        <w:trPr>
          <w:trHeight w:val="251"/>
        </w:trPr>
        <w:tc>
          <w:tcPr>
            <w:tcW w:w="1413" w:type="dxa"/>
            <w:vAlign w:val="center"/>
          </w:tcPr>
          <w:p w14:paraId="68666009" w14:textId="77777777" w:rsidR="000E5879" w:rsidRPr="00C07D2F" w:rsidRDefault="000E5879" w:rsidP="00420C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7D2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8647" w:type="dxa"/>
            <w:vAlign w:val="center"/>
          </w:tcPr>
          <w:p w14:paraId="3A7F1EA6" w14:textId="7535C3D6" w:rsidR="000E5879" w:rsidRPr="00446C0F" w:rsidRDefault="00A4631D" w:rsidP="00420C3B">
            <w:pPr>
              <w:rPr>
                <w:rFonts w:asciiTheme="majorHAnsi" w:hAnsiTheme="majorHAnsi" w:cstheme="majorHAnsi"/>
              </w:rPr>
            </w:pPr>
            <w:r w:rsidRPr="00485759">
              <w:rPr>
                <w:rFonts w:asciiTheme="majorHAnsi" w:hAnsiTheme="majorHAnsi" w:cstheme="majorHAnsi"/>
              </w:rPr>
              <w:t>Dirección de Seguimiento, Monitoreo y Evaluación</w:t>
            </w:r>
          </w:p>
        </w:tc>
      </w:tr>
      <w:tr w:rsidR="001B420F" w14:paraId="1104BB63" w14:textId="77777777" w:rsidTr="00BD185E">
        <w:trPr>
          <w:trHeight w:val="265"/>
        </w:trPr>
        <w:tc>
          <w:tcPr>
            <w:tcW w:w="1413" w:type="dxa"/>
            <w:vAlign w:val="center"/>
          </w:tcPr>
          <w:p w14:paraId="38F5ED05" w14:textId="77777777" w:rsidR="000E5879" w:rsidRPr="00C07D2F" w:rsidRDefault="000E5879" w:rsidP="00420C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7D2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8647" w:type="dxa"/>
            <w:vAlign w:val="center"/>
          </w:tcPr>
          <w:p w14:paraId="4D92BA5F" w14:textId="1BABFDC4" w:rsidR="000E5879" w:rsidRPr="00446C0F" w:rsidRDefault="001D135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Transferencia financiera OTASS, EPS, </w:t>
            </w:r>
            <w:r w:rsidR="001B5475">
              <w:rPr>
                <w:rFonts w:asciiTheme="majorHAnsi" w:hAnsiTheme="majorHAnsi" w:cstheme="majorHAnsi"/>
              </w:rPr>
              <w:t>monto transferido, monto ejecutado</w:t>
            </w:r>
          </w:p>
        </w:tc>
      </w:tr>
      <w:tr w:rsidR="001B420F" w14:paraId="0EB068F0" w14:textId="77777777" w:rsidTr="00BD185E">
        <w:trPr>
          <w:trHeight w:val="475"/>
        </w:trPr>
        <w:tc>
          <w:tcPr>
            <w:tcW w:w="1413" w:type="dxa"/>
            <w:vAlign w:val="center"/>
          </w:tcPr>
          <w:p w14:paraId="7D957584" w14:textId="77777777" w:rsidR="000E5879" w:rsidRPr="00C07D2F" w:rsidRDefault="000E5879" w:rsidP="00420C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7D2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8647" w:type="dxa"/>
            <w:vAlign w:val="center"/>
          </w:tcPr>
          <w:p w14:paraId="69CA3DC4" w14:textId="511C1C05" w:rsidR="001448E0" w:rsidRPr="00446C0F" w:rsidRDefault="001B5475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 de junio de 2025</w:t>
            </w:r>
          </w:p>
        </w:tc>
      </w:tr>
      <w:tr w:rsidR="001B420F" w14:paraId="6EB59078" w14:textId="77777777" w:rsidTr="00BD185E">
        <w:trPr>
          <w:trHeight w:val="436"/>
        </w:trPr>
        <w:tc>
          <w:tcPr>
            <w:tcW w:w="1413" w:type="dxa"/>
            <w:vAlign w:val="center"/>
          </w:tcPr>
          <w:p w14:paraId="20B685C6" w14:textId="784C96B6" w:rsidR="000E5879" w:rsidRPr="00C07D2F" w:rsidRDefault="000E5879" w:rsidP="00420C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7D2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Frecuencia </w:t>
            </w:r>
            <w:r w:rsidR="00C07D2F" w:rsidRPr="00C07D2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</w:t>
            </w:r>
            <w:r w:rsidRPr="00C07D2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 actualización</w:t>
            </w:r>
          </w:p>
        </w:tc>
        <w:tc>
          <w:tcPr>
            <w:tcW w:w="8647" w:type="dxa"/>
            <w:vAlign w:val="center"/>
          </w:tcPr>
          <w:p w14:paraId="1536B474" w14:textId="5F2E2076" w:rsidR="000E5879" w:rsidRDefault="003B1A02" w:rsidP="001B42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A4631D" w14:paraId="59E47966" w14:textId="77777777" w:rsidTr="00BD185E">
        <w:trPr>
          <w:trHeight w:val="358"/>
        </w:trPr>
        <w:tc>
          <w:tcPr>
            <w:tcW w:w="1413" w:type="dxa"/>
            <w:vAlign w:val="center"/>
          </w:tcPr>
          <w:p w14:paraId="46742CA0" w14:textId="77777777" w:rsidR="00A4631D" w:rsidRPr="00C07D2F" w:rsidRDefault="00A4631D" w:rsidP="00A463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7D2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8647" w:type="dxa"/>
            <w:vAlign w:val="center"/>
          </w:tcPr>
          <w:p w14:paraId="71E0D8A7" w14:textId="15C00C5E" w:rsidR="00A4631D" w:rsidRDefault="001B5475" w:rsidP="00A4631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01 de junio de 2025,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10:00 (UTC-05:00)</w:t>
            </w:r>
          </w:p>
        </w:tc>
      </w:tr>
      <w:tr w:rsidR="00A4631D" w14:paraId="0C58E2F0" w14:textId="77777777" w:rsidTr="00BD185E">
        <w:trPr>
          <w:trHeight w:val="265"/>
        </w:trPr>
        <w:tc>
          <w:tcPr>
            <w:tcW w:w="1413" w:type="dxa"/>
            <w:vAlign w:val="center"/>
          </w:tcPr>
          <w:p w14:paraId="2D122C47" w14:textId="77777777" w:rsidR="00A4631D" w:rsidRPr="00C07D2F" w:rsidRDefault="00A4631D" w:rsidP="00A463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7D2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8647" w:type="dxa"/>
            <w:vAlign w:val="center"/>
          </w:tcPr>
          <w:p w14:paraId="2D395AB0" w14:textId="26EBB4ED" w:rsidR="00A4631D" w:rsidRDefault="00A4631D" w:rsidP="00A4631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A4631D" w:rsidRPr="000E6DB7" w14:paraId="2FF55690" w14:textId="77777777" w:rsidTr="00BD185E">
        <w:trPr>
          <w:trHeight w:val="251"/>
        </w:trPr>
        <w:tc>
          <w:tcPr>
            <w:tcW w:w="1413" w:type="dxa"/>
            <w:vAlign w:val="center"/>
          </w:tcPr>
          <w:p w14:paraId="4906D23A" w14:textId="77777777" w:rsidR="00A4631D" w:rsidRPr="00C07D2F" w:rsidRDefault="00A4631D" w:rsidP="00A463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7D2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8647" w:type="dxa"/>
            <w:vAlign w:val="center"/>
          </w:tcPr>
          <w:p w14:paraId="25BBC806" w14:textId="3B88A8C3" w:rsidR="00A4631D" w:rsidRPr="00760151" w:rsidRDefault="00A4631D" w:rsidP="00A4631D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A4631D" w14:paraId="76E62C73" w14:textId="77777777" w:rsidTr="00BD185E">
        <w:trPr>
          <w:trHeight w:val="265"/>
        </w:trPr>
        <w:tc>
          <w:tcPr>
            <w:tcW w:w="1413" w:type="dxa"/>
            <w:vAlign w:val="center"/>
          </w:tcPr>
          <w:p w14:paraId="7206979E" w14:textId="77777777" w:rsidR="00A4631D" w:rsidRPr="00C07D2F" w:rsidRDefault="00A4631D" w:rsidP="00A463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7D2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8647" w:type="dxa"/>
            <w:vAlign w:val="center"/>
          </w:tcPr>
          <w:p w14:paraId="01F38947" w14:textId="7DCC41D0" w:rsidR="00A4631D" w:rsidRPr="007561E5" w:rsidRDefault="00A4631D" w:rsidP="00A4631D">
            <w:pPr>
              <w:rPr>
                <w:rFonts w:asciiTheme="majorHAnsi" w:hAnsiTheme="majorHAnsi" w:cstheme="majorHAnsi"/>
              </w:rPr>
            </w:pPr>
            <w:r w:rsidRPr="007561E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A4631D" w14:paraId="4379B4FD" w14:textId="77777777" w:rsidTr="00BD185E">
        <w:trPr>
          <w:trHeight w:val="164"/>
        </w:trPr>
        <w:tc>
          <w:tcPr>
            <w:tcW w:w="1413" w:type="dxa"/>
            <w:vAlign w:val="center"/>
          </w:tcPr>
          <w:p w14:paraId="774438CE" w14:textId="77777777" w:rsidR="00A4631D" w:rsidRPr="00C07D2F" w:rsidRDefault="00A4631D" w:rsidP="00A463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7D2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8647" w:type="dxa"/>
            <w:vAlign w:val="center"/>
          </w:tcPr>
          <w:p w14:paraId="0F441F84" w14:textId="2005C000" w:rsidR="00A4631D" w:rsidRPr="007561E5" w:rsidRDefault="00A4631D" w:rsidP="00A4631D">
            <w:pPr>
              <w:rPr>
                <w:rFonts w:asciiTheme="majorHAnsi" w:hAnsiTheme="majorHAnsi" w:cstheme="majorHAnsi"/>
              </w:rPr>
            </w:pPr>
            <w:r w:rsidRPr="007561E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A4631D" w14:paraId="416E6A33" w14:textId="77777777" w:rsidTr="00BD185E">
        <w:trPr>
          <w:trHeight w:val="50"/>
        </w:trPr>
        <w:tc>
          <w:tcPr>
            <w:tcW w:w="1413" w:type="dxa"/>
          </w:tcPr>
          <w:p w14:paraId="2F2123EE" w14:textId="77777777" w:rsidR="00A4631D" w:rsidRPr="00C07D2F" w:rsidRDefault="00A4631D" w:rsidP="00A463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7D2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8647" w:type="dxa"/>
            <w:vAlign w:val="center"/>
          </w:tcPr>
          <w:p w14:paraId="256C2905" w14:textId="17A38829" w:rsidR="00A4631D" w:rsidRPr="007561E5" w:rsidRDefault="00A4631D" w:rsidP="00A4631D">
            <w:pPr>
              <w:rPr>
                <w:rFonts w:asciiTheme="majorHAnsi" w:hAnsiTheme="majorHAnsi" w:cstheme="majorHAnsi"/>
              </w:rPr>
            </w:pPr>
            <w:r w:rsidRPr="007561E5">
              <w:rPr>
                <w:rFonts w:asciiTheme="majorHAnsi" w:hAnsiTheme="majorHAnsi" w:cstheme="majorHAnsi"/>
              </w:rPr>
              <w:t>Dataset</w:t>
            </w:r>
          </w:p>
        </w:tc>
      </w:tr>
      <w:tr w:rsidR="00A4631D" w14:paraId="305F6D87" w14:textId="77777777" w:rsidTr="00BD185E">
        <w:trPr>
          <w:trHeight w:val="265"/>
        </w:trPr>
        <w:tc>
          <w:tcPr>
            <w:tcW w:w="1413" w:type="dxa"/>
          </w:tcPr>
          <w:p w14:paraId="43ED0802" w14:textId="77777777" w:rsidR="00A4631D" w:rsidRPr="00C07D2F" w:rsidRDefault="00A4631D" w:rsidP="00A4631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7D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Formato</w:t>
            </w:r>
          </w:p>
        </w:tc>
        <w:tc>
          <w:tcPr>
            <w:tcW w:w="8647" w:type="dxa"/>
            <w:vAlign w:val="center"/>
          </w:tcPr>
          <w:p w14:paraId="77591AA0" w14:textId="77AB3D4C" w:rsidR="00A4631D" w:rsidRPr="007561E5" w:rsidRDefault="00A4631D" w:rsidP="00A4631D">
            <w:pPr>
              <w:rPr>
                <w:rFonts w:asciiTheme="majorHAnsi" w:hAnsiTheme="majorHAnsi" w:cstheme="majorHAnsi"/>
              </w:rPr>
            </w:pPr>
            <w:r w:rsidRPr="007561E5">
              <w:rPr>
                <w:rFonts w:asciiTheme="majorHAnsi" w:hAnsiTheme="majorHAnsi" w:cstheme="majorHAnsi"/>
              </w:rPr>
              <w:t>CSV</w:t>
            </w:r>
          </w:p>
        </w:tc>
      </w:tr>
      <w:tr w:rsidR="00A4631D" w14:paraId="4776EBB1" w14:textId="77777777" w:rsidTr="00BD185E">
        <w:trPr>
          <w:trHeight w:val="251"/>
        </w:trPr>
        <w:tc>
          <w:tcPr>
            <w:tcW w:w="1413" w:type="dxa"/>
          </w:tcPr>
          <w:p w14:paraId="6D37476A" w14:textId="3D92E8E0" w:rsidR="00A4631D" w:rsidRPr="00C07D2F" w:rsidRDefault="00A4631D" w:rsidP="00A4631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7D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8647" w:type="dxa"/>
            <w:vAlign w:val="center"/>
          </w:tcPr>
          <w:p w14:paraId="7CBBB0B4" w14:textId="7C1C4877" w:rsidR="00A4631D" w:rsidRDefault="00A4631D" w:rsidP="00A4631D">
            <w:pPr>
              <w:rPr>
                <w:rFonts w:asciiTheme="majorHAnsi" w:hAnsiTheme="majorHAnsi" w:cstheme="majorHAnsi"/>
              </w:rPr>
            </w:pPr>
            <w:r w:rsidRPr="00485759">
              <w:rPr>
                <w:rFonts w:asciiTheme="majorHAnsi" w:hAnsiTheme="majorHAnsi" w:cstheme="majorHAnsi"/>
              </w:rPr>
              <w:t>Dirección de Seguimiento, Monitoreo y Evaluación</w:t>
            </w:r>
          </w:p>
        </w:tc>
      </w:tr>
      <w:tr w:rsidR="00A4631D" w14:paraId="683DC400" w14:textId="77777777" w:rsidTr="00BD185E">
        <w:trPr>
          <w:trHeight w:val="532"/>
        </w:trPr>
        <w:tc>
          <w:tcPr>
            <w:tcW w:w="1413" w:type="dxa"/>
          </w:tcPr>
          <w:p w14:paraId="273DC1BA" w14:textId="28D4A7D7" w:rsidR="00A4631D" w:rsidRPr="00C07D2F" w:rsidRDefault="00A4631D" w:rsidP="00A4631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7D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Email del Autor</w:t>
            </w:r>
          </w:p>
        </w:tc>
        <w:tc>
          <w:tcPr>
            <w:tcW w:w="8647" w:type="dxa"/>
            <w:vAlign w:val="center"/>
          </w:tcPr>
          <w:p w14:paraId="073DC867" w14:textId="39641916" w:rsidR="00A4631D" w:rsidRDefault="001B5475" w:rsidP="00A4631D">
            <w:pPr>
              <w:rPr>
                <w:rFonts w:asciiTheme="majorHAnsi" w:hAnsiTheme="majorHAnsi" w:cstheme="majorHAnsi"/>
              </w:rPr>
            </w:pPr>
            <w:r w:rsidRPr="001B5475">
              <w:rPr>
                <w:rFonts w:asciiTheme="majorHAnsi" w:hAnsiTheme="majorHAnsi" w:cstheme="majorHAnsi"/>
              </w:rPr>
              <w:t>dsm</w:t>
            </w:r>
            <w:r w:rsidR="000E6DB7">
              <w:rPr>
                <w:rFonts w:asciiTheme="majorHAnsi" w:hAnsiTheme="majorHAnsi" w:cstheme="majorHAnsi"/>
              </w:rPr>
              <w:t>e</w:t>
            </w:r>
            <w:r w:rsidRPr="001B5475">
              <w:rPr>
                <w:rFonts w:asciiTheme="majorHAnsi" w:hAnsiTheme="majorHAnsi" w:cstheme="majorHAnsi"/>
              </w:rPr>
              <w:t>@otass.gob.pe</w:t>
            </w:r>
          </w:p>
        </w:tc>
      </w:tr>
      <w:tr w:rsidR="00A4631D" w14:paraId="1CFA0883" w14:textId="77777777" w:rsidTr="00BD185E">
        <w:trPr>
          <w:trHeight w:val="251"/>
        </w:trPr>
        <w:tc>
          <w:tcPr>
            <w:tcW w:w="1413" w:type="dxa"/>
          </w:tcPr>
          <w:p w14:paraId="14C07A80" w14:textId="5868227C" w:rsidR="00A4631D" w:rsidRPr="00C07D2F" w:rsidRDefault="00A4631D" w:rsidP="00A4631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7D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Mantenedor</w:t>
            </w:r>
          </w:p>
        </w:tc>
        <w:tc>
          <w:tcPr>
            <w:tcW w:w="8647" w:type="dxa"/>
            <w:vAlign w:val="center"/>
          </w:tcPr>
          <w:p w14:paraId="37283806" w14:textId="4C8F7656" w:rsidR="00A4631D" w:rsidRDefault="00A4631D" w:rsidP="00A4631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Unidad de Tecnologías de la Información (UTI)</w:t>
            </w:r>
          </w:p>
        </w:tc>
      </w:tr>
      <w:tr w:rsidR="00A4631D" w14:paraId="2962A684" w14:textId="77777777" w:rsidTr="00BD185E">
        <w:trPr>
          <w:trHeight w:val="532"/>
        </w:trPr>
        <w:tc>
          <w:tcPr>
            <w:tcW w:w="1413" w:type="dxa"/>
          </w:tcPr>
          <w:p w14:paraId="49A09B23" w14:textId="537EAEE7" w:rsidR="00A4631D" w:rsidRPr="00C07D2F" w:rsidRDefault="00A4631D" w:rsidP="00A4631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7D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Email del Mantenedor</w:t>
            </w:r>
          </w:p>
        </w:tc>
        <w:tc>
          <w:tcPr>
            <w:tcW w:w="8647" w:type="dxa"/>
            <w:vAlign w:val="center"/>
          </w:tcPr>
          <w:p w14:paraId="316C78CA" w14:textId="7BC3AD12" w:rsidR="00A4631D" w:rsidRPr="001B5475" w:rsidRDefault="00A4631D" w:rsidP="00A4631D">
            <w:pPr>
              <w:rPr>
                <w:rFonts w:asciiTheme="majorHAnsi" w:hAnsiTheme="majorHAnsi" w:cstheme="majorHAnsi"/>
              </w:rPr>
            </w:pPr>
            <w:hyperlink r:id="rId6" w:history="1">
              <w:r w:rsidRPr="001B5475">
                <w:rPr>
                  <w:rStyle w:val="Hipervnculo"/>
                  <w:rFonts w:asciiTheme="majorHAnsi" w:hAnsiTheme="majorHAnsi" w:cstheme="majorHAnsi"/>
                  <w:color w:val="auto"/>
                  <w:u w:val="none"/>
                </w:rPr>
                <w:t>uti@otass.gob.pe</w:t>
              </w:r>
            </w:hyperlink>
          </w:p>
        </w:tc>
      </w:tr>
    </w:tbl>
    <w:p w14:paraId="0E418B39" w14:textId="77777777" w:rsidR="000E5879" w:rsidRPr="00A35219" w:rsidRDefault="000E5879" w:rsidP="001741BE">
      <w:pPr>
        <w:rPr>
          <w:rFonts w:asciiTheme="majorHAnsi" w:hAnsiTheme="majorHAnsi" w:cstheme="majorHAnsi"/>
        </w:rPr>
      </w:pPr>
    </w:p>
    <w:sectPr w:rsidR="000E5879" w:rsidRPr="00A35219" w:rsidSect="00BD185E">
      <w:pgSz w:w="11906" w:h="16838"/>
      <w:pgMar w:top="720" w:right="1418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49D5"/>
    <w:multiLevelType w:val="multilevel"/>
    <w:tmpl w:val="4704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46887"/>
    <w:multiLevelType w:val="hybridMultilevel"/>
    <w:tmpl w:val="9884AAE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622699"/>
    <w:multiLevelType w:val="multilevel"/>
    <w:tmpl w:val="00F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B0C89"/>
    <w:multiLevelType w:val="hybridMultilevel"/>
    <w:tmpl w:val="60040824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5C34C4"/>
    <w:multiLevelType w:val="hybridMultilevel"/>
    <w:tmpl w:val="EBE65D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229198">
    <w:abstractNumId w:val="2"/>
  </w:num>
  <w:num w:numId="2" w16cid:durableId="1811677760">
    <w:abstractNumId w:val="0"/>
  </w:num>
  <w:num w:numId="3" w16cid:durableId="1374694924">
    <w:abstractNumId w:val="4"/>
  </w:num>
  <w:num w:numId="4" w16cid:durableId="434788969">
    <w:abstractNumId w:val="1"/>
  </w:num>
  <w:num w:numId="5" w16cid:durableId="426393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0"/>
    <w:rsid w:val="00016768"/>
    <w:rsid w:val="000245A7"/>
    <w:rsid w:val="00042269"/>
    <w:rsid w:val="00055177"/>
    <w:rsid w:val="00075E77"/>
    <w:rsid w:val="000A3903"/>
    <w:rsid w:val="000B5787"/>
    <w:rsid w:val="000E5879"/>
    <w:rsid w:val="000E6DB7"/>
    <w:rsid w:val="001448E0"/>
    <w:rsid w:val="00162E26"/>
    <w:rsid w:val="001737DF"/>
    <w:rsid w:val="001741BE"/>
    <w:rsid w:val="00191E06"/>
    <w:rsid w:val="001A2C24"/>
    <w:rsid w:val="001B420F"/>
    <w:rsid w:val="001B5475"/>
    <w:rsid w:val="001C221A"/>
    <w:rsid w:val="001D1359"/>
    <w:rsid w:val="002303E9"/>
    <w:rsid w:val="00257353"/>
    <w:rsid w:val="00275E8F"/>
    <w:rsid w:val="002C2BFE"/>
    <w:rsid w:val="002C2DB6"/>
    <w:rsid w:val="002E1429"/>
    <w:rsid w:val="002E5D6B"/>
    <w:rsid w:val="00326170"/>
    <w:rsid w:val="00326E14"/>
    <w:rsid w:val="00331E34"/>
    <w:rsid w:val="0034233E"/>
    <w:rsid w:val="003B1A02"/>
    <w:rsid w:val="003C2FDB"/>
    <w:rsid w:val="003D2FAD"/>
    <w:rsid w:val="00446C0F"/>
    <w:rsid w:val="004523D9"/>
    <w:rsid w:val="0048162D"/>
    <w:rsid w:val="00485759"/>
    <w:rsid w:val="004A3F33"/>
    <w:rsid w:val="004C1A87"/>
    <w:rsid w:val="004C2A9D"/>
    <w:rsid w:val="00503EE9"/>
    <w:rsid w:val="00520251"/>
    <w:rsid w:val="00536555"/>
    <w:rsid w:val="005D741C"/>
    <w:rsid w:val="00617A86"/>
    <w:rsid w:val="0064189C"/>
    <w:rsid w:val="00682D15"/>
    <w:rsid w:val="00685848"/>
    <w:rsid w:val="006B1F91"/>
    <w:rsid w:val="006D10A9"/>
    <w:rsid w:val="0072040A"/>
    <w:rsid w:val="00730D9B"/>
    <w:rsid w:val="00741811"/>
    <w:rsid w:val="007561E5"/>
    <w:rsid w:val="00766FCF"/>
    <w:rsid w:val="007C36FC"/>
    <w:rsid w:val="007C6BCB"/>
    <w:rsid w:val="00845D10"/>
    <w:rsid w:val="00845F51"/>
    <w:rsid w:val="008F568C"/>
    <w:rsid w:val="00911BD5"/>
    <w:rsid w:val="0092010B"/>
    <w:rsid w:val="00971C1B"/>
    <w:rsid w:val="00976142"/>
    <w:rsid w:val="009817FB"/>
    <w:rsid w:val="009847E0"/>
    <w:rsid w:val="009951A6"/>
    <w:rsid w:val="009C51AA"/>
    <w:rsid w:val="00A322E0"/>
    <w:rsid w:val="00A4631D"/>
    <w:rsid w:val="00A514BD"/>
    <w:rsid w:val="00A540A0"/>
    <w:rsid w:val="00B048D2"/>
    <w:rsid w:val="00B15E17"/>
    <w:rsid w:val="00B21F8C"/>
    <w:rsid w:val="00B266E3"/>
    <w:rsid w:val="00B3375C"/>
    <w:rsid w:val="00B5424B"/>
    <w:rsid w:val="00BA3ACF"/>
    <w:rsid w:val="00BC5CA2"/>
    <w:rsid w:val="00BD185E"/>
    <w:rsid w:val="00BF3799"/>
    <w:rsid w:val="00C07D2F"/>
    <w:rsid w:val="00C51BC3"/>
    <w:rsid w:val="00C52F70"/>
    <w:rsid w:val="00C8487F"/>
    <w:rsid w:val="00CD2009"/>
    <w:rsid w:val="00CE7B47"/>
    <w:rsid w:val="00D025BD"/>
    <w:rsid w:val="00D633A1"/>
    <w:rsid w:val="00E74263"/>
    <w:rsid w:val="00E8661F"/>
    <w:rsid w:val="00EE7514"/>
    <w:rsid w:val="00F12786"/>
    <w:rsid w:val="00F26C0B"/>
    <w:rsid w:val="00F56C13"/>
    <w:rsid w:val="00F61C96"/>
    <w:rsid w:val="00FA0567"/>
    <w:rsid w:val="00FD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08E26"/>
  <w15:chartTrackingRefBased/>
  <w15:docId w15:val="{4942FCE9-2489-4D34-8C49-AF43F06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7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587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58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025B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66F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B15E17"/>
  </w:style>
  <w:style w:type="paragraph" w:customStyle="1" w:styleId="rtejustify">
    <w:name w:val="rtejustify"/>
    <w:basedOn w:val="Normal"/>
    <w:rsid w:val="0016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520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i@otass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Felipe Calderón Mendoza</dc:creator>
  <cp:keywords/>
  <dc:description/>
  <cp:lastModifiedBy>Daniel Requena Torres</cp:lastModifiedBy>
  <cp:revision>6</cp:revision>
  <dcterms:created xsi:type="dcterms:W3CDTF">2025-10-09T22:48:00Z</dcterms:created>
  <dcterms:modified xsi:type="dcterms:W3CDTF">2025-10-31T23:29:00Z</dcterms:modified>
</cp:coreProperties>
</file>