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074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106C8CC7" w14:textId="5510CA0B" w:rsidR="00097850" w:rsidRPr="005C31DB" w:rsidRDefault="00097850" w:rsidP="00097850">
      <w:pPr>
        <w:rPr>
          <w:b/>
          <w:bCs/>
        </w:rPr>
      </w:pPr>
      <w:r w:rsidRPr="004323CA">
        <w:t xml:space="preserve">Nombre del Dataset: </w:t>
      </w:r>
      <w:r w:rsidR="004F787F" w:rsidRPr="004F787F">
        <w:t xml:space="preserve">Registro de denuncias de Violencia </w:t>
      </w:r>
      <w:r w:rsidR="005E09AE">
        <w:t>de Género</w:t>
      </w:r>
      <w:r w:rsidR="004F787F" w:rsidRPr="004F787F">
        <w:t xml:space="preserve"> 2025</w:t>
      </w:r>
      <w:r w:rsidRPr="004323CA">
        <w:t>- [</w:t>
      </w:r>
      <w:r w:rsidR="004F787F">
        <w:t>Gobierno Regional de Tacna</w:t>
      </w:r>
      <w:r w:rsidRPr="004323CA">
        <w:t xml:space="preserve"> – </w:t>
      </w:r>
      <w:r w:rsidR="004F787F">
        <w:t>GRT</w:t>
      </w:r>
      <w:r w:rsidRPr="004323CA">
        <w:t>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67837272" w14:textId="77777777">
        <w:tc>
          <w:tcPr>
            <w:tcW w:w="2972" w:type="dxa"/>
            <w:vAlign w:val="center"/>
          </w:tcPr>
          <w:p w14:paraId="7DC9C125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003A952" w14:textId="0F011429" w:rsidR="00D20DE6" w:rsidRDefault="00FB6DAA">
            <w:pPr>
              <w:spacing w:after="160" w:line="259" w:lineRule="auto"/>
            </w:pPr>
            <w:r w:rsidRPr="004F787F">
              <w:t xml:space="preserve">Registro de denuncias de Violencia </w:t>
            </w:r>
            <w:r w:rsidR="00704262">
              <w:t>de Género</w:t>
            </w:r>
            <w:r w:rsidRPr="004F787F">
              <w:t xml:space="preserve"> 2025</w:t>
            </w:r>
            <w:r w:rsidR="00097850" w:rsidRPr="004323CA">
              <w:t xml:space="preserve"> - [</w:t>
            </w:r>
            <w:r>
              <w:t>Gobierno Regional de Tacna</w:t>
            </w:r>
            <w:r w:rsidR="00097850" w:rsidRPr="004323CA">
              <w:t xml:space="preserve"> – </w:t>
            </w:r>
            <w:r>
              <w:t>GRT</w:t>
            </w:r>
            <w:r w:rsidR="00097850" w:rsidRPr="004323CA">
              <w:t>]</w:t>
            </w:r>
          </w:p>
        </w:tc>
      </w:tr>
      <w:tr w:rsidR="00D20DE6" w14:paraId="76F2F2B9" w14:textId="77777777">
        <w:tc>
          <w:tcPr>
            <w:tcW w:w="2972" w:type="dxa"/>
            <w:vAlign w:val="center"/>
          </w:tcPr>
          <w:p w14:paraId="38CA8071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BAE40A6" w14:textId="2680F1FF" w:rsidR="00D20DE6" w:rsidRPr="00932830" w:rsidRDefault="00E23753">
            <w:hyperlink r:id="rId7" w:history="1">
              <w:r w:rsidRPr="00932830">
                <w:rPr>
                  <w:rStyle w:val="Hipervnculo"/>
                  <w:color w:val="auto"/>
                  <w:u w:val="none"/>
                </w:rPr>
                <w:t>https://www.datosabiertos.gob.pe/group/gobierno-regional-de-tacna-gore-tacna?sort_by=changed&amp;f%5B0%5D=field_resources%253Afield_format%3A505</w:t>
              </w:r>
            </w:hyperlink>
          </w:p>
        </w:tc>
      </w:tr>
      <w:tr w:rsidR="00D20DE6" w14:paraId="2E506051" w14:textId="77777777">
        <w:tc>
          <w:tcPr>
            <w:tcW w:w="2972" w:type="dxa"/>
            <w:vAlign w:val="center"/>
          </w:tcPr>
          <w:p w14:paraId="61569BEA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52A851D3" w14:textId="5EC0CBEA" w:rsidR="00097850" w:rsidRPr="00C76445" w:rsidRDefault="00097850" w:rsidP="00097850">
            <w:pPr>
              <w:jc w:val="both"/>
            </w:pPr>
            <w:r w:rsidRPr="00C76445">
              <w:t xml:space="preserve">Cada fila del </w:t>
            </w:r>
            <w:r w:rsidR="00A13C3B" w:rsidRPr="00C76445">
              <w:t>Dataset</w:t>
            </w:r>
            <w:r w:rsidRPr="00C76445">
              <w:t>, es un registro administrativo que constituye una base de datos confiable d</w:t>
            </w:r>
            <w:r w:rsidR="00682872">
              <w:t>e los casos registrados de violencia de género</w:t>
            </w:r>
            <w:r w:rsidRPr="00C76445">
              <w:t xml:space="preserve">. </w:t>
            </w:r>
            <w:r w:rsidR="00682872" w:rsidRPr="004F787F">
              <w:t>Registro de denuncias de Violencia contra la Mujer 2025</w:t>
            </w:r>
            <w:r w:rsidRPr="00C76445">
              <w:t>- [</w:t>
            </w:r>
            <w:r w:rsidR="00682872">
              <w:t>Gobierno Regional de Tacna</w:t>
            </w:r>
            <w:r w:rsidRPr="00C76445">
              <w:t xml:space="preserve"> – </w:t>
            </w:r>
            <w:r w:rsidR="00682872">
              <w:t>GRT</w:t>
            </w:r>
            <w:r w:rsidRPr="00C76445">
              <w:t>]</w:t>
            </w:r>
            <w:r w:rsidR="00022B14">
              <w:t>.</w:t>
            </w:r>
          </w:p>
          <w:p w14:paraId="2C8A8A44" w14:textId="409C4C83" w:rsidR="00097850" w:rsidRPr="00C76445" w:rsidRDefault="00A13C3B" w:rsidP="00097850">
            <w:pPr>
              <w:jc w:val="both"/>
            </w:pPr>
            <w:r>
              <w:br/>
            </w:r>
            <w:r w:rsidR="00097850" w:rsidRPr="00C76445">
              <w:t xml:space="preserve">Este </w:t>
            </w:r>
            <w:r w:rsidRPr="00C76445">
              <w:t>Dataset</w:t>
            </w:r>
            <w:r w:rsidR="00097850" w:rsidRPr="00C76445">
              <w:t xml:space="preserve"> tiene lo</w:t>
            </w:r>
            <w:r>
              <w:t>s siguientes campos:</w:t>
            </w:r>
          </w:p>
          <w:p w14:paraId="59E725B9" w14:textId="402D5686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>En el campo</w:t>
            </w:r>
            <w:r w:rsidR="00A13C3B">
              <w:t xml:space="preserve"> </w:t>
            </w:r>
            <w:r w:rsidR="00A13C3B" w:rsidRPr="00AC2581">
              <w:rPr>
                <w:rFonts w:eastAsia="Times New Roman"/>
                <w:b/>
                <w:bCs/>
                <w:color w:val="000000"/>
              </w:rPr>
              <w:t>N_PROVINCIA</w:t>
            </w:r>
            <w:r w:rsidRPr="00C76445">
              <w:t xml:space="preserve"> se registra la</w:t>
            </w:r>
            <w:r w:rsidR="00F711DD">
              <w:t xml:space="preserve"> provincia que proviene del estudio</w:t>
            </w:r>
            <w:r w:rsidRPr="00C76445">
              <w:t xml:space="preserve"> </w:t>
            </w:r>
            <w:r>
              <w:t>al aplicativo</w:t>
            </w:r>
            <w:r w:rsidRPr="00C76445">
              <w:t xml:space="preserve">, es un campo obligatorio que debe ser llevado por el </w:t>
            </w:r>
            <w:r w:rsidR="00F711DD">
              <w:t>administrador</w:t>
            </w:r>
            <w:r>
              <w:t>.</w:t>
            </w:r>
          </w:p>
          <w:p w14:paraId="139F0DF1" w14:textId="7B3ED6DD" w:rsidR="00097850" w:rsidRDefault="007C6122" w:rsidP="00097850">
            <w:pPr>
              <w:numPr>
                <w:ilvl w:val="0"/>
                <w:numId w:val="2"/>
              </w:numPr>
              <w:jc w:val="both"/>
            </w:pPr>
            <w:r w:rsidRPr="00AC2581">
              <w:rPr>
                <w:rFonts w:eastAsia="Times New Roman"/>
                <w:b/>
                <w:bCs/>
                <w:color w:val="000000"/>
              </w:rPr>
              <w:t>N_TOTAL</w:t>
            </w:r>
            <w:r w:rsidR="00097850" w:rsidRPr="00C76445">
              <w:t xml:space="preserve"> es el campo</w:t>
            </w:r>
            <w:r w:rsidR="00097850">
              <w:t xml:space="preserve"> </w:t>
            </w:r>
            <w:r w:rsidR="00DE0328">
              <w:t xml:space="preserve">mediante el cual se </w:t>
            </w:r>
            <w:r w:rsidR="00EC6C71">
              <w:t>calcula automáticamente</w:t>
            </w:r>
            <w:r w:rsidR="00DE0328">
              <w:t xml:space="preserve"> los casos de violencia por género, edad y provincia</w:t>
            </w:r>
            <w:r w:rsidR="00EC6C71">
              <w:t xml:space="preserve"> en la ciudad de Tacna.</w:t>
            </w:r>
          </w:p>
          <w:p w14:paraId="57E680F6" w14:textId="6EEDC3C4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En el campo </w:t>
            </w:r>
            <w:r w:rsidR="007C6122" w:rsidRPr="00AC2581">
              <w:rPr>
                <w:rFonts w:eastAsia="Times New Roman"/>
                <w:b/>
                <w:bCs/>
                <w:color w:val="000000"/>
              </w:rPr>
              <w:t>PORC_TOTAL</w:t>
            </w:r>
            <w:r w:rsidRPr="00C76445">
              <w:t xml:space="preserve"> </w:t>
            </w:r>
            <w:r w:rsidR="005E45D4">
              <w:t xml:space="preserve">se muestra el porcentaje de los casos registrados de violencia por </w:t>
            </w:r>
            <w:r w:rsidR="005E45D4">
              <w:t>género, edad y provincia en la ciudad de Tacna</w:t>
            </w:r>
            <w:r w:rsidR="002B1B27">
              <w:t>.</w:t>
            </w:r>
          </w:p>
          <w:p w14:paraId="40EE2FDD" w14:textId="21DDF057" w:rsidR="00097850" w:rsidRDefault="007C6122" w:rsidP="00097850">
            <w:pPr>
              <w:numPr>
                <w:ilvl w:val="0"/>
                <w:numId w:val="2"/>
              </w:numPr>
              <w:jc w:val="both"/>
            </w:pPr>
            <w:r w:rsidRPr="00AC2581">
              <w:rPr>
                <w:rFonts w:eastAsia="Times New Roman"/>
                <w:b/>
                <w:bCs/>
                <w:color w:val="000000"/>
              </w:rPr>
              <w:t>CANT_MUJER</w:t>
            </w:r>
            <w:r>
              <w:t xml:space="preserve"> </w:t>
            </w:r>
            <w:r w:rsidR="00633ADB">
              <w:t>es el campo mediante el cual se muestra la cantidad de mujeres que han sido violentadas.</w:t>
            </w:r>
          </w:p>
          <w:p w14:paraId="0CAF0A9A" w14:textId="3BC2C38A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t>L</w:t>
            </w:r>
            <w:r w:rsidRPr="00C76445">
              <w:t xml:space="preserve">a variable </w:t>
            </w:r>
            <w:r w:rsidR="00AC2581" w:rsidRPr="00AC2581">
              <w:rPr>
                <w:rFonts w:eastAsia="Times New Roman"/>
                <w:b/>
                <w:bCs/>
                <w:color w:val="000000"/>
              </w:rPr>
              <w:t>PORC_ MUJER</w:t>
            </w:r>
            <w:r w:rsidRPr="00C76445">
              <w:t xml:space="preserve">, nos indica </w:t>
            </w:r>
            <w:r w:rsidR="00633ADB">
              <w:t xml:space="preserve">el porcentaje de las mujeres violentadas </w:t>
            </w:r>
            <w:r w:rsidR="00564126">
              <w:t>que se calcula sobre el total.</w:t>
            </w:r>
          </w:p>
          <w:p w14:paraId="32367D34" w14:textId="5D5F7EF1" w:rsidR="00097850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La Variable </w:t>
            </w:r>
            <w:r w:rsidR="00AC2581" w:rsidRPr="00AC2581">
              <w:rPr>
                <w:b/>
                <w:bCs/>
              </w:rPr>
              <w:t>CANT_HOMBRE</w:t>
            </w:r>
            <w:r w:rsidRPr="00C76445">
              <w:t xml:space="preserve">, nos indica </w:t>
            </w:r>
            <w:r w:rsidR="001E1EDB">
              <w:t>la cantidad de varones que han sufrido un hecho de violencia.</w:t>
            </w:r>
          </w:p>
          <w:p w14:paraId="4966B463" w14:textId="5855EA4F" w:rsidR="00A13C3B" w:rsidRPr="00AC2581" w:rsidRDefault="00AC2581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AC2581">
              <w:rPr>
                <w:b/>
                <w:bCs/>
              </w:rPr>
              <w:t>PORC_HOMBRE</w:t>
            </w:r>
            <w:r w:rsidR="001E1EDB">
              <w:rPr>
                <w:b/>
                <w:bCs/>
              </w:rPr>
              <w:t xml:space="preserve">, </w:t>
            </w:r>
            <w:r w:rsidR="001E1EDB">
              <w:t>es el campo mediante el cual muestra el porcentaje de hombres que han registrado un hecho de violencia.</w:t>
            </w:r>
          </w:p>
          <w:p w14:paraId="567A70A5" w14:textId="07B39A2B" w:rsidR="00A13C3B" w:rsidRPr="00AC2581" w:rsidRDefault="00AC2581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AC2581">
              <w:rPr>
                <w:b/>
                <w:bCs/>
              </w:rPr>
              <w:t>EDAD_HAST_17</w:t>
            </w:r>
            <w:r w:rsidR="001E1EDB">
              <w:t>, variable que muestra la cantidad de hombres y mujeres de 0 hasta los 17 años que han sido víctimas de algún hecho de violencia.</w:t>
            </w:r>
          </w:p>
          <w:p w14:paraId="16A431B7" w14:textId="77EE9FA4" w:rsidR="00A13C3B" w:rsidRPr="001E1EDB" w:rsidRDefault="00AC2581" w:rsidP="001E1EDB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AC2581">
              <w:rPr>
                <w:b/>
                <w:bCs/>
              </w:rPr>
              <w:t>PORC_HAST_17</w:t>
            </w:r>
            <w:r w:rsidR="001E1EDB">
              <w:t xml:space="preserve">, porcentaje mediante el cual muestra </w:t>
            </w:r>
            <w:r w:rsidR="001E1EDB">
              <w:t>la cantidad de hombres y mujeres de 0 hasta los 17 años que han sido víctimas de algún hecho de violencia.</w:t>
            </w:r>
            <w:r w:rsidR="001E1EDB">
              <w:t xml:space="preserve"> </w:t>
            </w:r>
          </w:p>
          <w:p w14:paraId="115B39A3" w14:textId="0840A244" w:rsidR="00AC2581" w:rsidRPr="00AC2581" w:rsidRDefault="006F38E8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6F38E8">
              <w:t xml:space="preserve">La </w:t>
            </w:r>
            <w:r>
              <w:t>V</w:t>
            </w:r>
            <w:r w:rsidRPr="006F38E8">
              <w:t>ariable</w:t>
            </w:r>
            <w:r>
              <w:rPr>
                <w:b/>
                <w:bCs/>
              </w:rPr>
              <w:t xml:space="preserve"> </w:t>
            </w:r>
            <w:r w:rsidR="00AC2581" w:rsidRPr="00AC2581">
              <w:rPr>
                <w:b/>
                <w:bCs/>
              </w:rPr>
              <w:t>EDAD_18_59</w:t>
            </w:r>
            <w:r>
              <w:t xml:space="preserve">, </w:t>
            </w:r>
            <w:r>
              <w:t>variable que muestra la cantidad de hombres y mujeres de</w:t>
            </w:r>
            <w:r>
              <w:t>sde</w:t>
            </w:r>
            <w:r>
              <w:t xml:space="preserve"> </w:t>
            </w:r>
            <w:r>
              <w:t xml:space="preserve">los 18 </w:t>
            </w:r>
            <w:r>
              <w:t xml:space="preserve">hasta los </w:t>
            </w:r>
            <w:r>
              <w:t>59</w:t>
            </w:r>
            <w:r>
              <w:t xml:space="preserve"> años que han sido víctimas de algún hecho de violencia.</w:t>
            </w:r>
          </w:p>
          <w:p w14:paraId="14D5976A" w14:textId="71EEDC31" w:rsidR="00A13C3B" w:rsidRPr="00AC2581" w:rsidRDefault="006F38E8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6F38E8">
              <w:t>En el campo</w:t>
            </w:r>
            <w:r>
              <w:rPr>
                <w:b/>
                <w:bCs/>
              </w:rPr>
              <w:t xml:space="preserve"> </w:t>
            </w:r>
            <w:r w:rsidR="00AC2581" w:rsidRPr="00AC2581">
              <w:rPr>
                <w:b/>
                <w:bCs/>
              </w:rPr>
              <w:t>PORC_18_59</w:t>
            </w:r>
            <w:r>
              <w:t xml:space="preserve">, </w:t>
            </w:r>
            <w:r>
              <w:t xml:space="preserve">porcentaje mediante el cual muestra la cantidad de hombres y mujeres de </w:t>
            </w:r>
            <w:r>
              <w:t>18</w:t>
            </w:r>
            <w:r>
              <w:t xml:space="preserve"> hasta los </w:t>
            </w:r>
            <w:r>
              <w:t>59</w:t>
            </w:r>
            <w:r>
              <w:t xml:space="preserve"> años que han sido víctimas de algún hecho de violencia.</w:t>
            </w:r>
          </w:p>
          <w:p w14:paraId="0CBF50A6" w14:textId="19FFC451" w:rsidR="00AC2581" w:rsidRPr="00AC2581" w:rsidRDefault="006F38E8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6F38E8">
              <w:t>En el campo</w:t>
            </w:r>
            <w:r w:rsidRPr="00AC2581">
              <w:rPr>
                <w:b/>
                <w:bCs/>
              </w:rPr>
              <w:t xml:space="preserve"> </w:t>
            </w:r>
            <w:r w:rsidR="00AC2581" w:rsidRPr="00AC2581">
              <w:rPr>
                <w:b/>
                <w:bCs/>
              </w:rPr>
              <w:t>EDAD_60_MAS</w:t>
            </w:r>
            <w:r>
              <w:t xml:space="preserve">, </w:t>
            </w:r>
            <w:r w:rsidR="00C71BE8">
              <w:t xml:space="preserve">variable que muestra la cantidad de hombres y mujeres desde los </w:t>
            </w:r>
            <w:r w:rsidR="00C71BE8">
              <w:t>60</w:t>
            </w:r>
            <w:r w:rsidR="00C71BE8">
              <w:t xml:space="preserve"> años</w:t>
            </w:r>
            <w:r w:rsidR="00C71BE8">
              <w:t xml:space="preserve"> a más</w:t>
            </w:r>
            <w:r w:rsidR="00C71BE8">
              <w:t xml:space="preserve"> que han sido víctimas de algún hecho de violencia.</w:t>
            </w:r>
          </w:p>
          <w:p w14:paraId="4CEF7D09" w14:textId="1615CDB8" w:rsidR="00A13C3B" w:rsidRPr="00AC2581" w:rsidRDefault="00AC2581" w:rsidP="00097850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AC2581">
              <w:rPr>
                <w:b/>
                <w:bCs/>
              </w:rPr>
              <w:t>PORC_60_MAS</w:t>
            </w:r>
            <w:r w:rsidR="006F38E8">
              <w:t>,</w:t>
            </w:r>
            <w:r w:rsidR="00C3270F">
              <w:t xml:space="preserve"> </w:t>
            </w:r>
            <w:r w:rsidR="00C3270F">
              <w:t>porcentaje mediante el cual muestra la cantidad de hombres y mujeres de</w:t>
            </w:r>
            <w:r w:rsidR="00C3270F">
              <w:t>sde los</w:t>
            </w:r>
            <w:r w:rsidR="00C3270F">
              <w:t xml:space="preserve"> </w:t>
            </w:r>
            <w:r w:rsidR="00C3270F">
              <w:t>60</w:t>
            </w:r>
            <w:r w:rsidR="00C3270F">
              <w:t xml:space="preserve"> años</w:t>
            </w:r>
            <w:r w:rsidR="00C3270F">
              <w:t xml:space="preserve"> a más</w:t>
            </w:r>
            <w:r w:rsidR="00C3270F">
              <w:t xml:space="preserve"> que han sido víctimas de algún hecho de violencia.</w:t>
            </w:r>
          </w:p>
          <w:p w14:paraId="6F6E03C3" w14:textId="77777777" w:rsidR="00097850" w:rsidRPr="00C76445" w:rsidRDefault="00097850" w:rsidP="00097850">
            <w:pPr>
              <w:ind w:left="720"/>
              <w:jc w:val="both"/>
            </w:pPr>
          </w:p>
          <w:p w14:paraId="6A9341CE" w14:textId="165A678D" w:rsidR="00D20DE6" w:rsidRDefault="00097850" w:rsidP="00097850">
            <w:pPr>
              <w:jc w:val="both"/>
            </w:pPr>
            <w:r w:rsidRPr="00C76445">
              <w:t xml:space="preserve">Un </w:t>
            </w:r>
            <w:r w:rsidR="00E86650">
              <w:t>denunciante</w:t>
            </w:r>
            <w:r w:rsidRPr="00C76445">
              <w:t xml:space="preserve"> es aquella persona natural que </w:t>
            </w:r>
            <w:r w:rsidR="00E86650">
              <w:t xml:space="preserve">al ver sido víctima de algún hecho de violencia decide denunciar a su agresor mediante los canales utilizados por el Gobierno Regional de Tacna </w:t>
            </w:r>
            <w:r w:rsidR="002800C4">
              <w:t>o</w:t>
            </w:r>
            <w:r w:rsidR="00E86650">
              <w:t xml:space="preserve"> sus instancias.</w:t>
            </w:r>
          </w:p>
        </w:tc>
      </w:tr>
      <w:tr w:rsidR="00D20DE6" w14:paraId="0E998CC6" w14:textId="77777777">
        <w:tc>
          <w:tcPr>
            <w:tcW w:w="2972" w:type="dxa"/>
            <w:vAlign w:val="center"/>
          </w:tcPr>
          <w:p w14:paraId="5C8BCD2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7A4A472D" w14:textId="5D73DCED" w:rsidR="00D20DE6" w:rsidRDefault="00C83684">
            <w:r>
              <w:t>Gobierno Regional de Tacna</w:t>
            </w:r>
            <w:r w:rsidR="00000000">
              <w:t xml:space="preserve"> – </w:t>
            </w:r>
            <w:r>
              <w:t>GRT</w:t>
            </w:r>
          </w:p>
        </w:tc>
      </w:tr>
      <w:tr w:rsidR="00D20DE6" w14:paraId="78385FDA" w14:textId="77777777">
        <w:tc>
          <w:tcPr>
            <w:tcW w:w="2972" w:type="dxa"/>
            <w:vAlign w:val="center"/>
          </w:tcPr>
          <w:p w14:paraId="33BA527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DFB2EA0" w14:textId="75765A51" w:rsidR="00D20DE6" w:rsidRDefault="00000000">
            <w:r>
              <w:t xml:space="preserve">Oficina </w:t>
            </w:r>
            <w:r w:rsidR="001C7D3F">
              <w:t>de Tecnología de la Información</w:t>
            </w:r>
          </w:p>
        </w:tc>
      </w:tr>
      <w:tr w:rsidR="00D20DE6" w14:paraId="681DD378" w14:textId="77777777">
        <w:tc>
          <w:tcPr>
            <w:tcW w:w="2972" w:type="dxa"/>
            <w:vAlign w:val="center"/>
          </w:tcPr>
          <w:p w14:paraId="25C2231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3C8C442" w14:textId="01C6D89A" w:rsidR="00D20DE6" w:rsidRDefault="005E09AE">
            <w:r w:rsidRPr="004F787F">
              <w:t xml:space="preserve">Registro de denuncias de Violencia </w:t>
            </w:r>
            <w:r>
              <w:t>de Género</w:t>
            </w:r>
            <w:r w:rsidRPr="004F787F">
              <w:t xml:space="preserve"> </w:t>
            </w:r>
            <w:r w:rsidR="001521C6" w:rsidRPr="004323CA">
              <w:t>-R</w:t>
            </w:r>
            <w:r>
              <w:t>VG</w:t>
            </w:r>
          </w:p>
        </w:tc>
      </w:tr>
      <w:tr w:rsidR="00D20DE6" w14:paraId="27365A90" w14:textId="77777777">
        <w:tc>
          <w:tcPr>
            <w:tcW w:w="2972" w:type="dxa"/>
            <w:vAlign w:val="center"/>
          </w:tcPr>
          <w:p w14:paraId="5B4684F9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3B683141" w14:textId="2615F65D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E00214">
              <w:t>12</w:t>
            </w:r>
            <w:r>
              <w:t>-</w:t>
            </w:r>
            <w:r w:rsidR="00E00214">
              <w:t>17</w:t>
            </w:r>
          </w:p>
        </w:tc>
      </w:tr>
      <w:tr w:rsidR="00D20DE6" w14:paraId="20FA772E" w14:textId="77777777">
        <w:tc>
          <w:tcPr>
            <w:tcW w:w="2972" w:type="dxa"/>
            <w:vAlign w:val="center"/>
          </w:tcPr>
          <w:p w14:paraId="6B3D18E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1F07663" w14:textId="77777777" w:rsidR="00D20DE6" w:rsidRDefault="00000000">
            <w:r>
              <w:t>Anual</w:t>
            </w:r>
          </w:p>
        </w:tc>
      </w:tr>
      <w:tr w:rsidR="00D20DE6" w14:paraId="5E9E5363" w14:textId="77777777">
        <w:tc>
          <w:tcPr>
            <w:tcW w:w="2972" w:type="dxa"/>
            <w:vAlign w:val="center"/>
          </w:tcPr>
          <w:p w14:paraId="43BAD09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Última actualización</w:t>
            </w:r>
          </w:p>
        </w:tc>
        <w:tc>
          <w:tcPr>
            <w:tcW w:w="7484" w:type="dxa"/>
            <w:vAlign w:val="center"/>
          </w:tcPr>
          <w:p w14:paraId="70E00EA2" w14:textId="4BA73C0C" w:rsidR="00D20DE6" w:rsidRDefault="00263301">
            <w:r>
              <w:t>2025-</w:t>
            </w:r>
            <w:r w:rsidR="00E00214">
              <w:t>12-17</w:t>
            </w:r>
          </w:p>
        </w:tc>
      </w:tr>
      <w:tr w:rsidR="00D20DE6" w14:paraId="759A66A5" w14:textId="77777777">
        <w:tc>
          <w:tcPr>
            <w:tcW w:w="2972" w:type="dxa"/>
            <w:vAlign w:val="center"/>
          </w:tcPr>
          <w:p w14:paraId="7AF1E49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CDB56B7" w14:textId="77777777" w:rsidR="00D20DE6" w:rsidRDefault="00000000">
            <w:r>
              <w:t>1.0</w:t>
            </w:r>
          </w:p>
        </w:tc>
      </w:tr>
      <w:tr w:rsidR="00D20DE6" w:rsidRPr="004F787F" w14:paraId="272190A6" w14:textId="77777777">
        <w:tc>
          <w:tcPr>
            <w:tcW w:w="2972" w:type="dxa"/>
            <w:vAlign w:val="center"/>
          </w:tcPr>
          <w:p w14:paraId="3F60C2A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E192EB3" w14:textId="77777777" w:rsidR="00D20DE6" w:rsidRPr="00263301" w:rsidRDefault="00D20DE6">
            <w:pPr>
              <w:rPr>
                <w:lang w:val="en-US"/>
              </w:rPr>
            </w:pPr>
            <w:hyperlink r:id="rId8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4FBBD99B" w14:textId="77777777">
        <w:tc>
          <w:tcPr>
            <w:tcW w:w="2972" w:type="dxa"/>
            <w:vAlign w:val="center"/>
          </w:tcPr>
          <w:p w14:paraId="4DB70174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BF8E1F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38CB0053" w14:textId="77777777">
        <w:tc>
          <w:tcPr>
            <w:tcW w:w="2972" w:type="dxa"/>
            <w:vAlign w:val="center"/>
          </w:tcPr>
          <w:p w14:paraId="7497FEC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616EE92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2C9CF49B" w14:textId="77777777">
        <w:tc>
          <w:tcPr>
            <w:tcW w:w="2972" w:type="dxa"/>
          </w:tcPr>
          <w:p w14:paraId="5ED84D3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B170163" w14:textId="77777777" w:rsidR="00D20DE6" w:rsidRDefault="00000000">
            <w:r>
              <w:t>Dataset</w:t>
            </w:r>
          </w:p>
        </w:tc>
      </w:tr>
      <w:tr w:rsidR="00D20DE6" w14:paraId="73C03A21" w14:textId="77777777">
        <w:tc>
          <w:tcPr>
            <w:tcW w:w="2972" w:type="dxa"/>
          </w:tcPr>
          <w:p w14:paraId="1C60964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07215EF" w14:textId="77777777" w:rsidR="00D20DE6" w:rsidRDefault="00000000">
            <w:r>
              <w:t>CSV</w:t>
            </w:r>
          </w:p>
        </w:tc>
      </w:tr>
      <w:tr w:rsidR="00D20DE6" w14:paraId="2568367A" w14:textId="77777777">
        <w:tc>
          <w:tcPr>
            <w:tcW w:w="2972" w:type="dxa"/>
          </w:tcPr>
          <w:p w14:paraId="3082E8B1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25ACF0" w14:textId="77777777" w:rsidR="00D20DE6" w:rsidRDefault="00000000">
            <w:r>
              <w:t>Perú, 2021 - 2024</w:t>
            </w:r>
          </w:p>
        </w:tc>
      </w:tr>
      <w:tr w:rsidR="00D20DE6" w14:paraId="7D6EE7B3" w14:textId="77777777">
        <w:tc>
          <w:tcPr>
            <w:tcW w:w="2972" w:type="dxa"/>
          </w:tcPr>
          <w:p w14:paraId="29FE9E2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805B148" w14:textId="17A79C6B" w:rsidR="00D20DE6" w:rsidRDefault="00B76770" w:rsidP="00AA0917">
            <w:pPr>
              <w:ind w:left="720" w:hanging="720"/>
            </w:pPr>
            <w:r>
              <w:t>grtoti</w:t>
            </w:r>
            <w:r w:rsidR="00572AB7" w:rsidRPr="00572AB7">
              <w:t>@</w:t>
            </w:r>
            <w:r>
              <w:t>regiontacna</w:t>
            </w:r>
            <w:r w:rsidR="00572AB7" w:rsidRPr="00572AB7">
              <w:t>.gob.pe</w:t>
            </w:r>
          </w:p>
        </w:tc>
      </w:tr>
    </w:tbl>
    <w:p w14:paraId="22BBC859" w14:textId="77777777" w:rsidR="00BC5ADD" w:rsidRDefault="00BC5ADD" w:rsidP="00BB29A5">
      <w:pPr>
        <w:rPr>
          <w:color w:val="FF0000"/>
        </w:rPr>
      </w:pPr>
    </w:p>
    <w:p w14:paraId="1901BDCD" w14:textId="77777777" w:rsidR="00BC5ADD" w:rsidRDefault="00BC5ADD" w:rsidP="00BB29A5">
      <w:pPr>
        <w:rPr>
          <w:color w:val="FF0000"/>
        </w:rPr>
      </w:pPr>
    </w:p>
    <w:p w14:paraId="72DB0F2D" w14:textId="77777777" w:rsidR="00BC5ADD" w:rsidRDefault="00BC5ADD" w:rsidP="00BB29A5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6B3D"/>
    <w:rsid w:val="00022B14"/>
    <w:rsid w:val="00087347"/>
    <w:rsid w:val="00097850"/>
    <w:rsid w:val="000C5214"/>
    <w:rsid w:val="000C7F1A"/>
    <w:rsid w:val="000E05C3"/>
    <w:rsid w:val="001521C6"/>
    <w:rsid w:val="001C7D3F"/>
    <w:rsid w:val="001E1EDB"/>
    <w:rsid w:val="001E3F07"/>
    <w:rsid w:val="001E49FE"/>
    <w:rsid w:val="00263301"/>
    <w:rsid w:val="002800C4"/>
    <w:rsid w:val="002B1B27"/>
    <w:rsid w:val="00334F19"/>
    <w:rsid w:val="003E1A06"/>
    <w:rsid w:val="00404CAB"/>
    <w:rsid w:val="004F21EE"/>
    <w:rsid w:val="004F787F"/>
    <w:rsid w:val="005248AD"/>
    <w:rsid w:val="005279D2"/>
    <w:rsid w:val="00564126"/>
    <w:rsid w:val="00572AB7"/>
    <w:rsid w:val="00577B9F"/>
    <w:rsid w:val="00591969"/>
    <w:rsid w:val="005E09AE"/>
    <w:rsid w:val="005E45D4"/>
    <w:rsid w:val="00633ADB"/>
    <w:rsid w:val="00682872"/>
    <w:rsid w:val="006F38E8"/>
    <w:rsid w:val="006F7D57"/>
    <w:rsid w:val="00704262"/>
    <w:rsid w:val="00751AB4"/>
    <w:rsid w:val="007C2986"/>
    <w:rsid w:val="007C6122"/>
    <w:rsid w:val="007F7258"/>
    <w:rsid w:val="008020CF"/>
    <w:rsid w:val="00870111"/>
    <w:rsid w:val="008B5AFD"/>
    <w:rsid w:val="00912B2C"/>
    <w:rsid w:val="009219D3"/>
    <w:rsid w:val="00932830"/>
    <w:rsid w:val="00960B16"/>
    <w:rsid w:val="009B4EE3"/>
    <w:rsid w:val="00A13C3B"/>
    <w:rsid w:val="00A26E1F"/>
    <w:rsid w:val="00A54E0D"/>
    <w:rsid w:val="00AA0917"/>
    <w:rsid w:val="00AA6F99"/>
    <w:rsid w:val="00AB24D8"/>
    <w:rsid w:val="00AB6D01"/>
    <w:rsid w:val="00AC2581"/>
    <w:rsid w:val="00AF2FA4"/>
    <w:rsid w:val="00B76770"/>
    <w:rsid w:val="00BB29A5"/>
    <w:rsid w:val="00BC5ADD"/>
    <w:rsid w:val="00C1337D"/>
    <w:rsid w:val="00C20E0A"/>
    <w:rsid w:val="00C3270F"/>
    <w:rsid w:val="00C71BE8"/>
    <w:rsid w:val="00C7443F"/>
    <w:rsid w:val="00C83684"/>
    <w:rsid w:val="00CF0962"/>
    <w:rsid w:val="00D20DE6"/>
    <w:rsid w:val="00DD4A3D"/>
    <w:rsid w:val="00DE0328"/>
    <w:rsid w:val="00E00214"/>
    <w:rsid w:val="00E23753"/>
    <w:rsid w:val="00E657C7"/>
    <w:rsid w:val="00E86650"/>
    <w:rsid w:val="00EA795A"/>
    <w:rsid w:val="00EB73D3"/>
    <w:rsid w:val="00EC6C71"/>
    <w:rsid w:val="00ED1311"/>
    <w:rsid w:val="00F061A5"/>
    <w:rsid w:val="00F40395"/>
    <w:rsid w:val="00F46E77"/>
    <w:rsid w:val="00F552D4"/>
    <w:rsid w:val="00F711DD"/>
    <w:rsid w:val="00F837F7"/>
    <w:rsid w:val="00FB02E8"/>
    <w:rsid w:val="00F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3C9A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datosabiertos.gob.pe/group/gobierno-regional-de-tacna-gore-tacna?sort_by=changed&amp;f%5B0%5D=field_resources%253Afield_format%3A50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leo</cp:lastModifiedBy>
  <cp:revision>35</cp:revision>
  <dcterms:created xsi:type="dcterms:W3CDTF">2025-06-30T20:50:00Z</dcterms:created>
  <dcterms:modified xsi:type="dcterms:W3CDTF">2025-12-17T20:32:00Z</dcterms:modified>
</cp:coreProperties>
</file>