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77E11A95" w14:textId="5BBF209F" w:rsidR="00504D0A" w:rsidRPr="004760E8" w:rsidRDefault="00FB085E" w:rsidP="00860C49">
      <w:pPr>
        <w:rPr>
          <w:rFonts w:ascii="Calibri" w:hAnsi="Calibri" w:cs="Calibri"/>
        </w:rPr>
      </w:pPr>
      <w:r w:rsidRPr="004760E8">
        <w:rPr>
          <w:rFonts w:ascii="Calibri" w:hAnsi="Calibri" w:cs="Calibri"/>
        </w:rPr>
        <w:t>Metadatos del dataset:</w:t>
      </w:r>
      <w:r w:rsidR="004008BB" w:rsidRPr="004008BB">
        <w:rPr>
          <w:rFonts w:ascii="Calibri" w:hAnsi="Calibri" w:cs="Calibri"/>
        </w:rPr>
        <w:t xml:space="preserve"> </w:t>
      </w:r>
      <w:r w:rsidR="00860C49" w:rsidRPr="00860C49">
        <w:rPr>
          <w:rFonts w:ascii="Calibri" w:hAnsi="Calibri" w:cs="Calibri"/>
        </w:rPr>
        <w:t>Reporte de orden de pago</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0449B9A6" w:rsidR="00504D0A" w:rsidRPr="004760E8" w:rsidRDefault="00860C49" w:rsidP="00504D0A">
            <w:pPr>
              <w:rPr>
                <w:rFonts w:ascii="Calibri" w:hAnsi="Calibri" w:cs="Calibri"/>
              </w:rPr>
            </w:pPr>
            <w:r w:rsidRPr="00860C49">
              <w:rPr>
                <w:rFonts w:ascii="Calibri" w:hAnsi="Calibri" w:cs="Calibri"/>
              </w:rPr>
              <w:t>Reporte de orden de pago</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7111E673" w:rsidR="00314026" w:rsidRPr="006B6B7F" w:rsidRDefault="001F5BBC" w:rsidP="00314026">
            <w:pPr>
              <w:rPr>
                <w:rFonts w:ascii="Calibri" w:hAnsi="Calibri" w:cs="Calibri"/>
                <w:highlight w:val="yellow"/>
              </w:rPr>
            </w:pPr>
            <w:r w:rsidRPr="001F5BBC">
              <w:rPr>
                <w:rFonts w:ascii="Calibri" w:hAnsi="Calibri" w:cs="Calibri"/>
              </w:rPr>
              <w:t>https://www.datosabiertos.gob.pe/dataset/listado-de-%C3%B3rdenes-de-pago-ejecutadas-por-la-municipalidad-distrital-de-chaclacayo-durante</w:t>
            </w:r>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7A464293" w14:textId="77777777" w:rsidR="00455A92" w:rsidRPr="00455A92" w:rsidRDefault="00455A92" w:rsidP="00455A92">
            <w:pPr>
              <w:jc w:val="both"/>
              <w:rPr>
                <w:rFonts w:ascii="Calibri" w:hAnsi="Calibri" w:cs="Calibri"/>
              </w:rPr>
            </w:pPr>
            <w:r w:rsidRPr="00455A92">
              <w:rPr>
                <w:rFonts w:ascii="Calibri" w:hAnsi="Calibri" w:cs="Calibri"/>
              </w:rPr>
              <w:t>Este conjunto de datos contiene información sobre las órdenes de pago emitidas por la administración tributaria municipal, las cuales constituyen documentos administrativos que exigen el pago de una deuda tributaria previamente determinada.</w:t>
            </w:r>
          </w:p>
          <w:p w14:paraId="7474FC95" w14:textId="77777777" w:rsidR="00455A92" w:rsidRPr="00455A92" w:rsidRDefault="00455A92" w:rsidP="00455A92">
            <w:pPr>
              <w:jc w:val="both"/>
              <w:rPr>
                <w:rFonts w:ascii="Calibri" w:hAnsi="Calibri" w:cs="Calibri"/>
              </w:rPr>
            </w:pPr>
          </w:p>
          <w:p w14:paraId="470AD1A5" w14:textId="77777777" w:rsidR="00455A92" w:rsidRPr="00455A92" w:rsidRDefault="00455A92" w:rsidP="00455A92">
            <w:pPr>
              <w:jc w:val="both"/>
              <w:rPr>
                <w:rFonts w:ascii="Calibri" w:hAnsi="Calibri" w:cs="Calibri"/>
              </w:rPr>
            </w:pPr>
            <w:r w:rsidRPr="00455A92">
              <w:rPr>
                <w:rFonts w:ascii="Calibri" w:hAnsi="Calibri" w:cs="Calibri"/>
              </w:rPr>
              <w:t>El dataset incluye:</w:t>
            </w:r>
          </w:p>
          <w:p w14:paraId="051987FA" w14:textId="77777777" w:rsidR="00455A92" w:rsidRPr="00455A92" w:rsidRDefault="00455A92" w:rsidP="00455A92">
            <w:pPr>
              <w:jc w:val="both"/>
              <w:rPr>
                <w:rFonts w:ascii="Calibri" w:hAnsi="Calibri" w:cs="Calibri"/>
              </w:rPr>
            </w:pPr>
          </w:p>
          <w:p w14:paraId="3F823DEA" w14:textId="77777777" w:rsidR="00455A92" w:rsidRPr="00455A92" w:rsidRDefault="00455A92" w:rsidP="00455A92">
            <w:pPr>
              <w:jc w:val="both"/>
              <w:rPr>
                <w:rFonts w:ascii="Calibri" w:hAnsi="Calibri" w:cs="Calibri"/>
              </w:rPr>
            </w:pPr>
            <w:r w:rsidRPr="00455A92">
              <w:rPr>
                <w:rFonts w:ascii="Calibri" w:hAnsi="Calibri" w:cs="Calibri"/>
              </w:rPr>
              <w:t>• Identificación de la orden de pago: Tipo de valor, número correlativo y año fiscal de emisión.</w:t>
            </w:r>
          </w:p>
          <w:p w14:paraId="028E076A" w14:textId="77777777" w:rsidR="00455A92" w:rsidRPr="00455A92" w:rsidRDefault="00455A92" w:rsidP="00455A92">
            <w:pPr>
              <w:jc w:val="both"/>
              <w:rPr>
                <w:rFonts w:ascii="Calibri" w:hAnsi="Calibri" w:cs="Calibri"/>
              </w:rPr>
            </w:pPr>
          </w:p>
          <w:p w14:paraId="1DBF12F9" w14:textId="77777777" w:rsidR="00455A92" w:rsidRPr="00455A92" w:rsidRDefault="00455A92" w:rsidP="00455A92">
            <w:pPr>
              <w:jc w:val="both"/>
              <w:rPr>
                <w:rFonts w:ascii="Calibri" w:hAnsi="Calibri" w:cs="Calibri"/>
              </w:rPr>
            </w:pPr>
            <w:r w:rsidRPr="00455A92">
              <w:rPr>
                <w:rFonts w:ascii="Calibri" w:hAnsi="Calibri" w:cs="Calibri"/>
              </w:rPr>
              <w:t>• Identificación del contribuyente: Código único del contribuyente y apellidos y nombres del titular de la deuda.</w:t>
            </w:r>
          </w:p>
          <w:p w14:paraId="4647AD68" w14:textId="77777777" w:rsidR="00455A92" w:rsidRPr="00455A92" w:rsidRDefault="00455A92" w:rsidP="00455A92">
            <w:pPr>
              <w:jc w:val="both"/>
              <w:rPr>
                <w:rFonts w:ascii="Calibri" w:hAnsi="Calibri" w:cs="Calibri"/>
              </w:rPr>
            </w:pPr>
          </w:p>
          <w:p w14:paraId="46D43C2F" w14:textId="77777777" w:rsidR="00455A92" w:rsidRPr="00455A92" w:rsidRDefault="00455A92" w:rsidP="00455A92">
            <w:pPr>
              <w:jc w:val="both"/>
              <w:rPr>
                <w:rFonts w:ascii="Calibri" w:hAnsi="Calibri" w:cs="Calibri"/>
              </w:rPr>
            </w:pPr>
            <w:r w:rsidRPr="00455A92">
              <w:rPr>
                <w:rFonts w:ascii="Calibri" w:hAnsi="Calibri" w:cs="Calibri"/>
              </w:rPr>
              <w:t>• Estado de la orden de pago: Situación administrativa del documento (pendiente, cancelado o anulado).</w:t>
            </w:r>
          </w:p>
          <w:p w14:paraId="5715A2E7" w14:textId="77777777" w:rsidR="00455A92" w:rsidRPr="00455A92" w:rsidRDefault="00455A92" w:rsidP="00455A92">
            <w:pPr>
              <w:jc w:val="both"/>
              <w:rPr>
                <w:rFonts w:ascii="Calibri" w:hAnsi="Calibri" w:cs="Calibri"/>
              </w:rPr>
            </w:pPr>
          </w:p>
          <w:p w14:paraId="74174ADC" w14:textId="77777777" w:rsidR="00455A92" w:rsidRPr="00455A92" w:rsidRDefault="00455A92" w:rsidP="00455A92">
            <w:pPr>
              <w:jc w:val="both"/>
              <w:rPr>
                <w:rFonts w:ascii="Calibri" w:hAnsi="Calibri" w:cs="Calibri"/>
              </w:rPr>
            </w:pPr>
            <w:r w:rsidRPr="00455A92">
              <w:rPr>
                <w:rFonts w:ascii="Calibri" w:hAnsi="Calibri" w:cs="Calibri"/>
              </w:rPr>
              <w:t>• Situación de cobranza: Indica si la orden se encuentra en gestión regular o en proceso de cobranza coactiva.</w:t>
            </w:r>
          </w:p>
          <w:p w14:paraId="3C9FDD0C" w14:textId="77777777" w:rsidR="00455A92" w:rsidRPr="00455A92" w:rsidRDefault="00455A92" w:rsidP="00455A92">
            <w:pPr>
              <w:jc w:val="both"/>
              <w:rPr>
                <w:rFonts w:ascii="Calibri" w:hAnsi="Calibri" w:cs="Calibri"/>
              </w:rPr>
            </w:pPr>
          </w:p>
          <w:p w14:paraId="5BEFEA67" w14:textId="77777777" w:rsidR="00455A92" w:rsidRPr="00455A92" w:rsidRDefault="00455A92" w:rsidP="00455A92">
            <w:pPr>
              <w:jc w:val="both"/>
              <w:rPr>
                <w:rFonts w:ascii="Calibri" w:hAnsi="Calibri" w:cs="Calibri"/>
              </w:rPr>
            </w:pPr>
            <w:r w:rsidRPr="00455A92">
              <w:rPr>
                <w:rFonts w:ascii="Calibri" w:hAnsi="Calibri" w:cs="Calibri"/>
              </w:rPr>
              <w:t>• Información temporal: Fecha de generación de la orden de pago, fecha de envío o derivación a cobranza coactiva.</w:t>
            </w:r>
          </w:p>
          <w:p w14:paraId="1E00517A" w14:textId="77777777" w:rsidR="00455A92" w:rsidRPr="00455A92" w:rsidRDefault="00455A92" w:rsidP="00455A92">
            <w:pPr>
              <w:jc w:val="both"/>
              <w:rPr>
                <w:rFonts w:ascii="Calibri" w:hAnsi="Calibri" w:cs="Calibri"/>
              </w:rPr>
            </w:pPr>
          </w:p>
          <w:p w14:paraId="0D4289EB" w14:textId="77777777" w:rsidR="00455A92" w:rsidRPr="00455A92" w:rsidRDefault="00455A92" w:rsidP="00455A92">
            <w:pPr>
              <w:jc w:val="both"/>
              <w:rPr>
                <w:rFonts w:ascii="Calibri" w:hAnsi="Calibri" w:cs="Calibri"/>
              </w:rPr>
            </w:pPr>
            <w:r w:rsidRPr="00455A92">
              <w:rPr>
                <w:rFonts w:ascii="Calibri" w:hAnsi="Calibri" w:cs="Calibri"/>
              </w:rPr>
              <w:t>• Información administrativa adicional: Número del documento que dispone la transferencia del expediente a la cobranza coactiva.</w:t>
            </w:r>
          </w:p>
          <w:p w14:paraId="4CB1B29E" w14:textId="77777777" w:rsidR="00455A92" w:rsidRPr="00455A92" w:rsidRDefault="00455A92" w:rsidP="00455A92">
            <w:pPr>
              <w:jc w:val="both"/>
              <w:rPr>
                <w:rFonts w:ascii="Calibri" w:hAnsi="Calibri" w:cs="Calibri"/>
              </w:rPr>
            </w:pPr>
          </w:p>
          <w:p w14:paraId="1768E929" w14:textId="581E44B8" w:rsidR="005D5F13" w:rsidRPr="006B6B7F" w:rsidRDefault="00455A92" w:rsidP="00455A92">
            <w:pPr>
              <w:jc w:val="both"/>
              <w:rPr>
                <w:rFonts w:ascii="Calibri" w:hAnsi="Calibri" w:cs="Calibri"/>
                <w:highlight w:val="yellow"/>
              </w:rPr>
            </w:pPr>
            <w:r w:rsidRPr="00455A92">
              <w:rPr>
                <w:rFonts w:ascii="Calibri" w:hAnsi="Calibri" w:cs="Calibri"/>
              </w:rPr>
              <w:t>Este dataset es fundamental para la gestión de la recaudación tributaria, control de la deuda municipal, seguimiento de procesos coactivos y transparencia de la gestión fiscal.</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2B6E97C4" w:rsidR="00504D0A" w:rsidRPr="004760E8" w:rsidRDefault="00860C49" w:rsidP="00504D0A">
            <w:pPr>
              <w:rPr>
                <w:rFonts w:ascii="Calibri" w:hAnsi="Calibri" w:cs="Calibri"/>
              </w:rPr>
            </w:pPr>
            <w:r>
              <w:rPr>
                <w:rFonts w:ascii="Calibri" w:hAnsi="Calibri" w:cs="Calibri"/>
              </w:rPr>
              <w:t>MUNICIPALIDAD DISTRITAL DE CHACLACAYO</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7F65FFBE" w:rsidR="00504D0A" w:rsidRPr="004760E8" w:rsidRDefault="00860C49" w:rsidP="00504D0A">
            <w:pPr>
              <w:rPr>
                <w:rFonts w:ascii="Calibri" w:hAnsi="Calibri" w:cs="Calibri"/>
              </w:rPr>
            </w:pPr>
            <w:r w:rsidRPr="00860C49">
              <w:rPr>
                <w:rFonts w:ascii="Calibri" w:hAnsi="Calibri" w:cs="Calibri"/>
              </w:rPr>
              <w:t>Subgerencia de Recaudación y Ejecutoría Coactiva</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4320C199" w:rsidR="00504D0A" w:rsidRPr="004760E8" w:rsidRDefault="00455A92" w:rsidP="00504D0A">
            <w:pPr>
              <w:rPr>
                <w:rFonts w:ascii="Calibri" w:hAnsi="Calibri" w:cs="Calibri"/>
                <w:u w:val="single"/>
              </w:rPr>
            </w:pPr>
            <w:r w:rsidRPr="00455A92">
              <w:rPr>
                <w:rFonts w:ascii="Calibri" w:hAnsi="Calibri" w:cs="Calibri"/>
              </w:rPr>
              <w:t>Orden de pago, deuda tributaria, cobranza coactiva, recaudación municipal</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03BA9B4C" w:rsidR="00504D0A" w:rsidRPr="004760E8" w:rsidRDefault="00024D96" w:rsidP="00504D0A">
            <w:pPr>
              <w:rPr>
                <w:rFonts w:ascii="Calibri" w:hAnsi="Calibri" w:cs="Calibri"/>
              </w:rPr>
            </w:pPr>
            <w:r>
              <w:rPr>
                <w:rFonts w:ascii="Calibri" w:hAnsi="Calibri" w:cs="Calibri"/>
              </w:rPr>
              <w:t>2026-</w:t>
            </w:r>
            <w:r w:rsidR="00860C49">
              <w:rPr>
                <w:rFonts w:ascii="Calibri" w:hAnsi="Calibri" w:cs="Calibri"/>
              </w:rPr>
              <w:t>0</w:t>
            </w:r>
            <w:r>
              <w:rPr>
                <w:rFonts w:ascii="Calibri" w:hAnsi="Calibri" w:cs="Calibri"/>
              </w:rPr>
              <w:t>1-</w:t>
            </w:r>
            <w:r w:rsidR="00860C49">
              <w:rPr>
                <w:rFonts w:ascii="Calibri" w:hAnsi="Calibri" w:cs="Calibri"/>
              </w:rPr>
              <w:t>21</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0514467E" w:rsidR="00504D0A" w:rsidRPr="004760E8" w:rsidRDefault="00354420" w:rsidP="00504D0A">
            <w:pPr>
              <w:rPr>
                <w:rFonts w:ascii="Calibri" w:hAnsi="Calibri" w:cs="Calibri"/>
              </w:rPr>
            </w:pPr>
            <w:r>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4097747A" w:rsidR="00CD25C2" w:rsidRPr="004760E8" w:rsidRDefault="00024D96" w:rsidP="00CD25C2">
            <w:pPr>
              <w:rPr>
                <w:rFonts w:ascii="Calibri" w:hAnsi="Calibri" w:cs="Calibri"/>
                <w:u w:val="single"/>
              </w:rPr>
            </w:pPr>
            <w:r>
              <w:rPr>
                <w:rFonts w:ascii="Calibri" w:hAnsi="Calibri" w:cs="Calibri"/>
              </w:rPr>
              <w:t>2026-01-08</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1F5BBC"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860C49" w:rsidRDefault="00CD25C2" w:rsidP="00CD25C2">
            <w:pPr>
              <w:rPr>
                <w:rFonts w:ascii="Calibri" w:hAnsi="Calibri" w:cs="Calibri"/>
                <w:lang w:val="en-CA"/>
              </w:rPr>
            </w:pPr>
            <w:hyperlink r:id="rId5" w:history="1">
              <w:r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r w:rsidRPr="004760E8">
              <w:rPr>
                <w:rFonts w:ascii="Calibri" w:hAnsi="Calibri" w:cs="Calibri"/>
              </w:rPr>
              <w:t>Dataset</w:t>
            </w:r>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7261513C" w:rsidR="00CD25C2" w:rsidRPr="004760E8" w:rsidRDefault="00A66910" w:rsidP="00CD25C2">
            <w:pPr>
              <w:rPr>
                <w:rFonts w:ascii="Calibri" w:hAnsi="Calibri" w:cs="Calibri"/>
                <w:u w:val="single"/>
              </w:rPr>
            </w:pPr>
            <w:r w:rsidRPr="004760E8">
              <w:rPr>
                <w:rFonts w:ascii="Calibri" w:hAnsi="Calibri" w:cs="Calibri"/>
              </w:rPr>
              <w:t>Perú, Lim</w:t>
            </w:r>
            <w:r w:rsidR="00860C49">
              <w:rPr>
                <w:rFonts w:ascii="Calibri" w:hAnsi="Calibri" w:cs="Calibri"/>
              </w:rPr>
              <w:t>a, Chaclacayo</w:t>
            </w:r>
            <w:r w:rsidRPr="004760E8">
              <w:rPr>
                <w:rFonts w:ascii="Calibri" w:hAnsi="Calibri" w:cs="Calibri"/>
              </w:rPr>
              <w:t>, 202</w:t>
            </w:r>
            <w:r w:rsidR="00024D96">
              <w:rPr>
                <w:rFonts w:ascii="Calibri" w:hAnsi="Calibri" w:cs="Calibri"/>
              </w:rPr>
              <w:t>6</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3DA8E7A5" w:rsidR="00CD25C2" w:rsidRPr="004760E8" w:rsidRDefault="00860C49" w:rsidP="00CD25C2">
            <w:pPr>
              <w:rPr>
                <w:rFonts w:ascii="Calibri" w:hAnsi="Calibri" w:cs="Calibri"/>
              </w:rPr>
            </w:pPr>
            <w:hyperlink r:id="rId6" w:history="1">
              <w:r w:rsidRPr="00860C49">
                <w:rPr>
                  <w:rStyle w:val="Hipervnculo"/>
                  <w:rFonts w:ascii="Calibri" w:hAnsi="Calibri" w:cs="Calibri"/>
                </w:rPr>
                <w:t>s.tecnologiadelainformacion@munichaclacayo.gob.pe</w:t>
              </w:r>
            </w:hyperlink>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24D96"/>
    <w:rsid w:val="00051C32"/>
    <w:rsid w:val="00094E52"/>
    <w:rsid w:val="00116DF8"/>
    <w:rsid w:val="00151C17"/>
    <w:rsid w:val="00170CA3"/>
    <w:rsid w:val="00182C03"/>
    <w:rsid w:val="001F5BBC"/>
    <w:rsid w:val="0020585A"/>
    <w:rsid w:val="00250767"/>
    <w:rsid w:val="00270007"/>
    <w:rsid w:val="0028171A"/>
    <w:rsid w:val="002903AD"/>
    <w:rsid w:val="00297BE5"/>
    <w:rsid w:val="002A18E2"/>
    <w:rsid w:val="002C446F"/>
    <w:rsid w:val="002C5CA1"/>
    <w:rsid w:val="002E6942"/>
    <w:rsid w:val="00304380"/>
    <w:rsid w:val="00306482"/>
    <w:rsid w:val="00314026"/>
    <w:rsid w:val="00354420"/>
    <w:rsid w:val="003C73A6"/>
    <w:rsid w:val="003D0AF5"/>
    <w:rsid w:val="003D6FF9"/>
    <w:rsid w:val="003E4836"/>
    <w:rsid w:val="003F11FA"/>
    <w:rsid w:val="004008BB"/>
    <w:rsid w:val="00455A92"/>
    <w:rsid w:val="004610CA"/>
    <w:rsid w:val="004760E8"/>
    <w:rsid w:val="0048753E"/>
    <w:rsid w:val="004C7BE2"/>
    <w:rsid w:val="004F1D9B"/>
    <w:rsid w:val="004F4F37"/>
    <w:rsid w:val="00504D0A"/>
    <w:rsid w:val="0053019B"/>
    <w:rsid w:val="0053263F"/>
    <w:rsid w:val="00533EC0"/>
    <w:rsid w:val="00542748"/>
    <w:rsid w:val="005705EA"/>
    <w:rsid w:val="00573D36"/>
    <w:rsid w:val="005B2E55"/>
    <w:rsid w:val="005B706A"/>
    <w:rsid w:val="005C7A46"/>
    <w:rsid w:val="005D5F13"/>
    <w:rsid w:val="005D77B8"/>
    <w:rsid w:val="005E46CF"/>
    <w:rsid w:val="005F0DBF"/>
    <w:rsid w:val="005F2C43"/>
    <w:rsid w:val="005F6FA2"/>
    <w:rsid w:val="006323FD"/>
    <w:rsid w:val="00636A28"/>
    <w:rsid w:val="00647FB5"/>
    <w:rsid w:val="0067123E"/>
    <w:rsid w:val="00682CD5"/>
    <w:rsid w:val="006938D6"/>
    <w:rsid w:val="006A03EC"/>
    <w:rsid w:val="006A10EF"/>
    <w:rsid w:val="006B6B7F"/>
    <w:rsid w:val="0070589E"/>
    <w:rsid w:val="007109F5"/>
    <w:rsid w:val="00717CED"/>
    <w:rsid w:val="00767798"/>
    <w:rsid w:val="007840A6"/>
    <w:rsid w:val="00860C49"/>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AC4776"/>
    <w:rsid w:val="00B27C25"/>
    <w:rsid w:val="00B51478"/>
    <w:rsid w:val="00B6616D"/>
    <w:rsid w:val="00BA5F3B"/>
    <w:rsid w:val="00BD003A"/>
    <w:rsid w:val="00BE071B"/>
    <w:rsid w:val="00BE2CC3"/>
    <w:rsid w:val="00C426FE"/>
    <w:rsid w:val="00C51257"/>
    <w:rsid w:val="00C961F8"/>
    <w:rsid w:val="00C96537"/>
    <w:rsid w:val="00CB2772"/>
    <w:rsid w:val="00CB498E"/>
    <w:rsid w:val="00CD25C2"/>
    <w:rsid w:val="00CD5533"/>
    <w:rsid w:val="00D00322"/>
    <w:rsid w:val="00D018F2"/>
    <w:rsid w:val="00D054D8"/>
    <w:rsid w:val="00D52ADA"/>
    <w:rsid w:val="00D5559D"/>
    <w:rsid w:val="00D957C7"/>
    <w:rsid w:val="00D9735D"/>
    <w:rsid w:val="00DA6578"/>
    <w:rsid w:val="00DB164D"/>
    <w:rsid w:val="00DF7498"/>
    <w:rsid w:val="00E05EFC"/>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73B19"/>
    <w:rsid w:val="00F83775"/>
    <w:rsid w:val="00F91F91"/>
    <w:rsid w:val="00FA048A"/>
    <w:rsid w:val="00FB085E"/>
    <w:rsid w:val="00FF45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 w:type="character" w:styleId="Textoennegrita">
    <w:name w:val="Strong"/>
    <w:basedOn w:val="Fuentedeprrafopredeter"/>
    <w:uiPriority w:val="22"/>
    <w:qFormat/>
    <w:rsid w:val="00FF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munichaclacayo.gob.pe:2083/logout/?locale=en"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318</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Soporte Tecnico</cp:lastModifiedBy>
  <cp:revision>7</cp:revision>
  <dcterms:created xsi:type="dcterms:W3CDTF">2026-01-21T17:48:00Z</dcterms:created>
  <dcterms:modified xsi:type="dcterms:W3CDTF">2026-01-22T14:45:00Z</dcterms:modified>
</cp:coreProperties>
</file>