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4AB" w:rsidRDefault="00A8278F">
      <w:pPr>
        <w:rPr>
          <w:rFonts w:ascii="Arial" w:eastAsia="Arial" w:hAnsi="Arial" w:cs="Arial"/>
        </w:rPr>
      </w:pPr>
      <w:r>
        <w:rPr>
          <w:rFonts w:ascii="Arial" w:eastAsia="Arial" w:hAnsi="Arial" w:cs="Arial"/>
          <w:noProof/>
        </w:rPr>
        <mc:AlternateContent>
          <mc:Choice Requires="wpg">
            <w:drawing>
              <wp:anchor distT="0" distB="0" distL="114300" distR="114300" simplePos="0" relativeHeight="251658240" behindDoc="0" locked="0" layoutInCell="1" hidden="0" allowOverlap="1">
                <wp:simplePos x="0" y="0"/>
                <wp:positionH relativeFrom="page">
                  <wp:align>center</wp:align>
                </wp:positionH>
                <wp:positionV relativeFrom="page">
                  <wp:posOffset>245745</wp:posOffset>
                </wp:positionV>
                <wp:extent cx="7315200" cy="1215391"/>
                <wp:effectExtent l="0" t="0" r="0" b="0"/>
                <wp:wrapNone/>
                <wp:docPr id="1" name="Grupo 1"/>
                <wp:cNvGraphicFramePr/>
                <a:graphic xmlns:a="http://schemas.openxmlformats.org/drawingml/2006/main">
                  <a:graphicData uri="http://schemas.microsoft.com/office/word/2010/wordprocessingGroup">
                    <wpg:wgp>
                      <wpg:cNvGrpSpPr/>
                      <wpg:grpSpPr>
                        <a:xfrm>
                          <a:off x="0" y="0"/>
                          <a:ext cx="7315200" cy="1215391"/>
                          <a:chOff x="1688400" y="3172305"/>
                          <a:chExt cx="7315200" cy="1215391"/>
                        </a:xfrm>
                      </wpg:grpSpPr>
                      <wpg:grpSp>
                        <wpg:cNvPr id="2" name="Grupo 2"/>
                        <wpg:cNvGrpSpPr/>
                        <wpg:grpSpPr>
                          <a:xfrm>
                            <a:off x="1688400" y="3172305"/>
                            <a:ext cx="7315200" cy="1215391"/>
                            <a:chOff x="0" y="-1"/>
                            <a:chExt cx="7315200" cy="1216153"/>
                          </a:xfrm>
                        </wpg:grpSpPr>
                        <wps:wsp>
                          <wps:cNvPr id="3" name="Rectángulo 3"/>
                          <wps:cNvSpPr/>
                          <wps:spPr>
                            <a:xfrm>
                              <a:off x="0" y="-1"/>
                              <a:ext cx="7315200" cy="1216150"/>
                            </a:xfrm>
                            <a:prstGeom prst="rect">
                              <a:avLst/>
                            </a:prstGeom>
                            <a:noFill/>
                            <a:ln>
                              <a:noFill/>
                            </a:ln>
                          </wps:spPr>
                          <wps:txbx>
                            <w:txbxContent>
                              <w:p w:rsidR="007D24AB" w:rsidRDefault="007D24AB">
                                <w:pPr>
                                  <w:spacing w:after="0" w:line="240" w:lineRule="auto"/>
                                  <w:textDirection w:val="btLr"/>
                                </w:pPr>
                              </w:p>
                            </w:txbxContent>
                          </wps:txbx>
                          <wps:bodyPr spcFirstLastPara="1" wrap="square" lIns="91425" tIns="91425" rIns="91425" bIns="91425" anchor="ctr" anchorCtr="0">
                            <a:noAutofit/>
                          </wps:bodyPr>
                        </wps:wsp>
                        <wps:wsp>
                          <wps:cNvPr id="4" name="Forma libre 4"/>
                          <wps:cNvSpPr/>
                          <wps:spPr>
                            <a:xfrm>
                              <a:off x="0" y="-1"/>
                              <a:ext cx="7315200" cy="1130373"/>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spcFirstLastPara="1" wrap="square" lIns="91425" tIns="91425" rIns="91425" bIns="91425" anchor="ctr" anchorCtr="0">
                            <a:noAutofit/>
                          </wps:bodyPr>
                        </wps:wsp>
                        <wps:wsp>
                          <wps:cNvPr id="5" name="Rectángulo 5"/>
                          <wps:cNvSpPr/>
                          <wps:spPr>
                            <a:xfrm>
                              <a:off x="0" y="0"/>
                              <a:ext cx="7315200" cy="1216152"/>
                            </a:xfrm>
                            <a:prstGeom prst="rect">
                              <a:avLst/>
                            </a:prstGeom>
                            <a:blipFill rotWithShape="1">
                              <a:blip r:embed="rId5">
                                <a:alphaModFix/>
                              </a:blip>
                              <a:stretch>
                                <a:fillRect r="-7573"/>
                              </a:stretch>
                            </a:blipFill>
                            <a:ln>
                              <a:noFill/>
                            </a:ln>
                          </wps:spPr>
                          <wps:txbx>
                            <w:txbxContent>
                              <w:p w:rsidR="007D24AB" w:rsidRDefault="007D24AB">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center</wp:align>
                </wp:positionH>
                <wp:positionV relativeFrom="page">
                  <wp:posOffset>245745</wp:posOffset>
                </wp:positionV>
                <wp:extent cx="7315200" cy="1215391"/>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315200" cy="1215391"/>
                        </a:xfrm>
                        <a:prstGeom prst="rect"/>
                        <a:ln/>
                      </pic:spPr>
                    </pic:pic>
                  </a:graphicData>
                </a:graphic>
              </wp:anchor>
            </w:drawing>
          </mc:Fallback>
        </mc:AlternateContent>
      </w:r>
    </w:p>
    <w:p w:rsidR="007D24AB" w:rsidRDefault="007D24AB">
      <w:pPr>
        <w:rPr>
          <w:rFonts w:ascii="Arial" w:eastAsia="Arial" w:hAnsi="Arial" w:cs="Arial"/>
          <w:b/>
          <w:color w:val="595959"/>
          <w:sz w:val="44"/>
          <w:szCs w:val="44"/>
        </w:rPr>
      </w:pPr>
    </w:p>
    <w:p w:rsidR="007D24AB" w:rsidRDefault="007D24AB">
      <w:pPr>
        <w:jc w:val="right"/>
        <w:rPr>
          <w:rFonts w:ascii="Arial" w:eastAsia="Arial" w:hAnsi="Arial" w:cs="Arial"/>
          <w:b/>
          <w:color w:val="D34817"/>
          <w:sz w:val="110"/>
          <w:szCs w:val="110"/>
        </w:rPr>
      </w:pPr>
    </w:p>
    <w:p w:rsidR="007D24AB" w:rsidRDefault="00A8278F">
      <w:pPr>
        <w:jc w:val="right"/>
        <w:rPr>
          <w:rFonts w:ascii="Arial" w:eastAsia="Arial" w:hAnsi="Arial" w:cs="Arial"/>
          <w:b/>
          <w:color w:val="D34817"/>
          <w:sz w:val="110"/>
          <w:szCs w:val="110"/>
        </w:rPr>
      </w:pPr>
      <w:r>
        <w:rPr>
          <w:rFonts w:ascii="Arial" w:eastAsia="Arial" w:hAnsi="Arial" w:cs="Arial"/>
          <w:b/>
          <w:color w:val="D34817"/>
          <w:sz w:val="110"/>
          <w:szCs w:val="110"/>
        </w:rPr>
        <w:t>DICCIONARIO DE DATOS</w:t>
      </w:r>
    </w:p>
    <w:p w:rsidR="007D24AB" w:rsidRDefault="007D24AB">
      <w:pPr>
        <w:rPr>
          <w:rFonts w:ascii="Arial" w:eastAsia="Arial" w:hAnsi="Arial" w:cs="Arial"/>
          <w:b/>
          <w:color w:val="595959"/>
          <w:sz w:val="44"/>
          <w:szCs w:val="44"/>
        </w:rPr>
      </w:pPr>
    </w:p>
    <w:p w:rsidR="007D24AB" w:rsidRDefault="007D24AB">
      <w:pPr>
        <w:rPr>
          <w:rFonts w:ascii="Arial" w:eastAsia="Arial" w:hAnsi="Arial" w:cs="Arial"/>
          <w:b/>
          <w:color w:val="595959"/>
          <w:sz w:val="44"/>
          <w:szCs w:val="44"/>
        </w:rPr>
      </w:pPr>
    </w:p>
    <w:p w:rsidR="007D24AB" w:rsidRDefault="007D24AB">
      <w:pPr>
        <w:rPr>
          <w:rFonts w:ascii="Arial" w:eastAsia="Arial" w:hAnsi="Arial" w:cs="Arial"/>
          <w:b/>
          <w:color w:val="595959"/>
          <w:sz w:val="44"/>
          <w:szCs w:val="44"/>
        </w:rPr>
      </w:pPr>
    </w:p>
    <w:p w:rsidR="007D24AB" w:rsidRDefault="007D24AB">
      <w:pPr>
        <w:rPr>
          <w:rFonts w:ascii="Arial" w:eastAsia="Arial" w:hAnsi="Arial" w:cs="Arial"/>
          <w:b/>
          <w:color w:val="595959"/>
          <w:sz w:val="44"/>
          <w:szCs w:val="44"/>
        </w:rPr>
      </w:pPr>
    </w:p>
    <w:p w:rsidR="007D24AB" w:rsidRDefault="00A8278F">
      <w:pPr>
        <w:spacing w:after="0"/>
        <w:jc w:val="both"/>
        <w:rPr>
          <w:rFonts w:ascii="Arial" w:eastAsia="Arial" w:hAnsi="Arial" w:cs="Arial"/>
          <w:color w:val="595959"/>
          <w:sz w:val="32"/>
          <w:szCs w:val="32"/>
        </w:rPr>
      </w:pPr>
      <w:r>
        <w:rPr>
          <w:rFonts w:ascii="Arial" w:eastAsia="Arial" w:hAnsi="Arial" w:cs="Arial"/>
          <w:b/>
          <w:color w:val="595959"/>
          <w:sz w:val="32"/>
          <w:szCs w:val="32"/>
        </w:rPr>
        <w:t>DATASET:</w:t>
      </w:r>
      <w:r>
        <w:rPr>
          <w:rFonts w:ascii="Arial" w:eastAsia="Arial" w:hAnsi="Arial" w:cs="Arial"/>
          <w:b/>
          <w:color w:val="595959"/>
          <w:sz w:val="32"/>
          <w:szCs w:val="32"/>
        </w:rPr>
        <w:br/>
      </w:r>
      <w:r>
        <w:rPr>
          <w:rFonts w:ascii="Arial" w:eastAsia="Arial" w:hAnsi="Arial" w:cs="Arial"/>
          <w:color w:val="595959"/>
          <w:sz w:val="32"/>
          <w:szCs w:val="32"/>
        </w:rPr>
        <w:t>PROYECTOS DE AGUA Y SANEAMIENTO EN LA MODALIDAD DE "CONTRATA" A CARGO DEL PNSU</w:t>
      </w:r>
    </w:p>
    <w:p w:rsidR="007D24AB" w:rsidRDefault="00A8278F">
      <w:pPr>
        <w:spacing w:after="0"/>
        <w:rPr>
          <w:rFonts w:ascii="Arial" w:eastAsia="Arial" w:hAnsi="Arial" w:cs="Arial"/>
          <w:b/>
          <w:color w:val="595959"/>
          <w:sz w:val="32"/>
          <w:szCs w:val="32"/>
        </w:rPr>
      </w:pPr>
      <w:r>
        <w:rPr>
          <w:rFonts w:ascii="Arial" w:eastAsia="Arial" w:hAnsi="Arial" w:cs="Arial"/>
          <w:b/>
          <w:color w:val="595959"/>
          <w:sz w:val="32"/>
          <w:szCs w:val="32"/>
        </w:rPr>
        <w:br/>
        <w:t>CÓDIGO DATASET:</w:t>
      </w:r>
    </w:p>
    <w:p w:rsidR="007D24AB" w:rsidRDefault="00A8278F">
      <w:pPr>
        <w:spacing w:after="0"/>
        <w:rPr>
          <w:rFonts w:ascii="Arial" w:eastAsia="Arial" w:hAnsi="Arial" w:cs="Arial"/>
          <w:color w:val="595959"/>
          <w:sz w:val="32"/>
          <w:szCs w:val="32"/>
        </w:rPr>
      </w:pPr>
      <w:r>
        <w:rPr>
          <w:rFonts w:ascii="Arial" w:eastAsia="Arial" w:hAnsi="Arial" w:cs="Arial"/>
          <w:color w:val="595959"/>
          <w:sz w:val="32"/>
          <w:szCs w:val="32"/>
          <w:highlight w:val="yellow"/>
        </w:rPr>
        <w:t>009</w:t>
      </w:r>
    </w:p>
    <w:p w:rsidR="007D24AB" w:rsidRDefault="007D24AB">
      <w:pPr>
        <w:rPr>
          <w:rFonts w:ascii="Arial" w:eastAsia="Arial" w:hAnsi="Arial" w:cs="Arial"/>
          <w:b/>
          <w:color w:val="595959"/>
          <w:sz w:val="36"/>
          <w:szCs w:val="36"/>
        </w:rPr>
      </w:pPr>
    </w:p>
    <w:p w:rsidR="007D24AB" w:rsidRDefault="007D24AB">
      <w:pPr>
        <w:rPr>
          <w:rFonts w:ascii="Arial" w:eastAsia="Arial" w:hAnsi="Arial" w:cs="Arial"/>
          <w:b/>
          <w:color w:val="595959"/>
          <w:sz w:val="44"/>
          <w:szCs w:val="44"/>
        </w:rPr>
      </w:pPr>
    </w:p>
    <w:p w:rsidR="007D24AB" w:rsidRDefault="00A8278F">
      <w:pPr>
        <w:numPr>
          <w:ilvl w:val="0"/>
          <w:numId w:val="1"/>
        </w:numPr>
        <w:pBdr>
          <w:top w:val="nil"/>
          <w:left w:val="nil"/>
          <w:bottom w:val="nil"/>
          <w:right w:val="nil"/>
          <w:between w:val="nil"/>
        </w:pBdr>
        <w:rPr>
          <w:rFonts w:ascii="Arial" w:eastAsia="Arial" w:hAnsi="Arial" w:cs="Arial"/>
          <w:b/>
          <w:color w:val="000000"/>
        </w:rPr>
      </w:pPr>
      <w:bookmarkStart w:id="0" w:name="_GoBack"/>
      <w:bookmarkEnd w:id="0"/>
      <w:r>
        <w:br w:type="page"/>
      </w:r>
      <w:r>
        <w:rPr>
          <w:rFonts w:ascii="Arial" w:eastAsia="Arial" w:hAnsi="Arial" w:cs="Arial"/>
          <w:b/>
          <w:color w:val="000000"/>
        </w:rPr>
        <w:lastRenderedPageBreak/>
        <w:t>Resumen</w:t>
      </w:r>
    </w:p>
    <w:p w:rsidR="007D24AB" w:rsidRDefault="00A8278F">
      <w:pPr>
        <w:ind w:left="360"/>
        <w:jc w:val="both"/>
        <w:rPr>
          <w:rFonts w:ascii="Arial" w:eastAsia="Arial" w:hAnsi="Arial" w:cs="Arial"/>
        </w:rPr>
      </w:pPr>
      <w:r>
        <w:rPr>
          <w:rFonts w:ascii="Arial" w:eastAsia="Arial" w:hAnsi="Arial" w:cs="Arial"/>
        </w:rPr>
        <w:t>La Base de Datos, muestra información de la cartera de proyectos a cargo del Programa Nacional de Saneamiento Urbano (PNSU), en la modalidad de “Contrata”. Estos proyectos según la etapa en la que se encuentran son Obras, Expedientes Técnicos y Estudios de</w:t>
      </w:r>
      <w:r>
        <w:rPr>
          <w:rFonts w:ascii="Arial" w:eastAsia="Arial" w:hAnsi="Arial" w:cs="Arial"/>
        </w:rPr>
        <w:t xml:space="preserve"> Pre inversión que a la fecha se encuentran en Elaboración, Proceso de Selección, Ejecución, Actos Previos entre otros.  </w:t>
      </w:r>
    </w:p>
    <w:p w:rsidR="007D24AB" w:rsidRDefault="00A8278F">
      <w:pPr>
        <w:ind w:left="360"/>
        <w:jc w:val="both"/>
        <w:rPr>
          <w:rFonts w:ascii="Arial" w:eastAsia="Arial" w:hAnsi="Arial" w:cs="Arial"/>
        </w:rPr>
      </w:pPr>
      <w:r>
        <w:rPr>
          <w:rFonts w:ascii="Arial" w:eastAsia="Arial" w:hAnsi="Arial" w:cs="Arial"/>
        </w:rPr>
        <w:t>Por Contrata, es la modalidad de ejecución de proyectos de agua y saneamiento que desarrolla el PNSU siendo la unidad ejecutora respon</w:t>
      </w:r>
      <w:r>
        <w:rPr>
          <w:rFonts w:ascii="Arial" w:eastAsia="Arial" w:hAnsi="Arial" w:cs="Arial"/>
        </w:rPr>
        <w:t>sable de la inversión, para tal fin, mediante un procedimiento de selección se encarga: la ejecución de la obra a una empresa contratista, el desarrollo del expediente técnico o las supervisiones a un consultor.</w:t>
      </w:r>
    </w:p>
    <w:p w:rsidR="007D24AB" w:rsidRDefault="00A8278F">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Fuente del DATASET</w:t>
      </w:r>
    </w:p>
    <w:p w:rsidR="007D24AB" w:rsidRDefault="007D24AB">
      <w:pPr>
        <w:pBdr>
          <w:top w:val="nil"/>
          <w:left w:val="nil"/>
          <w:bottom w:val="nil"/>
          <w:right w:val="nil"/>
          <w:between w:val="nil"/>
        </w:pBdr>
        <w:spacing w:after="0"/>
        <w:ind w:left="360"/>
        <w:rPr>
          <w:rFonts w:ascii="Arial" w:eastAsia="Arial" w:hAnsi="Arial" w:cs="Arial"/>
          <w:b/>
          <w:color w:val="000000"/>
        </w:rPr>
      </w:pPr>
    </w:p>
    <w:p w:rsidR="007D24AB" w:rsidRDefault="00A8278F">
      <w:pPr>
        <w:pBdr>
          <w:top w:val="nil"/>
          <w:left w:val="nil"/>
          <w:bottom w:val="nil"/>
          <w:right w:val="nil"/>
          <w:between w:val="nil"/>
        </w:pBdr>
        <w:spacing w:after="0"/>
        <w:ind w:left="360"/>
        <w:jc w:val="both"/>
        <w:rPr>
          <w:rFonts w:ascii="Arial" w:eastAsia="Arial" w:hAnsi="Arial" w:cs="Arial"/>
          <w:color w:val="000000"/>
        </w:rPr>
      </w:pPr>
      <w:r>
        <w:rPr>
          <w:rFonts w:ascii="Arial" w:eastAsia="Arial" w:hAnsi="Arial" w:cs="Arial"/>
          <w:color w:val="000000"/>
        </w:rPr>
        <w:t>Sistema de Seguimiento de Proyectos – SSP del Ministerio de Vivienda, Construcción y Saneamiento</w:t>
      </w:r>
    </w:p>
    <w:p w:rsidR="007D24AB" w:rsidRDefault="007D24AB">
      <w:pPr>
        <w:pBdr>
          <w:top w:val="nil"/>
          <w:left w:val="nil"/>
          <w:bottom w:val="nil"/>
          <w:right w:val="nil"/>
          <w:between w:val="nil"/>
        </w:pBdr>
        <w:spacing w:after="0"/>
        <w:ind w:left="360"/>
        <w:rPr>
          <w:rFonts w:ascii="Arial" w:eastAsia="Arial" w:hAnsi="Arial" w:cs="Arial"/>
          <w:b/>
          <w:color w:val="000000"/>
        </w:rPr>
      </w:pPr>
    </w:p>
    <w:p w:rsidR="007D24AB" w:rsidRDefault="00A8278F">
      <w:pPr>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Diccionario de datos</w:t>
      </w:r>
    </w:p>
    <w:tbl>
      <w:tblPr>
        <w:tblStyle w:val="a"/>
        <w:tblW w:w="81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7"/>
        <w:gridCol w:w="4110"/>
        <w:gridCol w:w="1843"/>
      </w:tblGrid>
      <w:tr w:rsidR="007D24AB">
        <w:trPr>
          <w:trHeight w:val="265"/>
        </w:trPr>
        <w:tc>
          <w:tcPr>
            <w:tcW w:w="2167" w:type="dxa"/>
            <w:shd w:val="clear" w:color="auto" w:fill="DEEAF6"/>
          </w:tcPr>
          <w:p w:rsidR="007D24AB" w:rsidRDefault="00A8278F">
            <w:pPr>
              <w:pBdr>
                <w:top w:val="nil"/>
                <w:left w:val="nil"/>
                <w:bottom w:val="nil"/>
                <w:right w:val="nil"/>
                <w:between w:val="nil"/>
              </w:pBdr>
              <w:spacing w:before="23"/>
              <w:ind w:left="499"/>
              <w:rPr>
                <w:rFonts w:ascii="Arial" w:eastAsia="Arial" w:hAnsi="Arial" w:cs="Arial"/>
                <w:b/>
                <w:color w:val="000000"/>
                <w:sz w:val="16"/>
                <w:szCs w:val="16"/>
              </w:rPr>
            </w:pPr>
            <w:r>
              <w:rPr>
                <w:rFonts w:ascii="Arial" w:eastAsia="Arial" w:hAnsi="Arial" w:cs="Arial"/>
                <w:b/>
                <w:color w:val="000000"/>
                <w:sz w:val="16"/>
                <w:szCs w:val="16"/>
              </w:rPr>
              <w:t>Atributos</w:t>
            </w:r>
          </w:p>
        </w:tc>
        <w:tc>
          <w:tcPr>
            <w:tcW w:w="4110" w:type="dxa"/>
            <w:shd w:val="clear" w:color="auto" w:fill="DEEAF6"/>
          </w:tcPr>
          <w:p w:rsidR="007D24AB" w:rsidRDefault="00A8278F">
            <w:pPr>
              <w:pBdr>
                <w:top w:val="nil"/>
                <w:left w:val="nil"/>
                <w:bottom w:val="nil"/>
                <w:right w:val="nil"/>
                <w:between w:val="nil"/>
              </w:pBdr>
              <w:spacing w:before="23"/>
              <w:ind w:left="107" w:right="175"/>
              <w:jc w:val="center"/>
              <w:rPr>
                <w:rFonts w:ascii="Arial" w:eastAsia="Arial" w:hAnsi="Arial" w:cs="Arial"/>
                <w:b/>
                <w:color w:val="000000"/>
                <w:sz w:val="20"/>
                <w:szCs w:val="20"/>
              </w:rPr>
            </w:pPr>
            <w:r>
              <w:rPr>
                <w:rFonts w:ascii="Arial" w:eastAsia="Arial" w:hAnsi="Arial" w:cs="Arial"/>
                <w:b/>
                <w:color w:val="000000"/>
                <w:sz w:val="20"/>
                <w:szCs w:val="20"/>
              </w:rPr>
              <w:t>Descripción</w:t>
            </w:r>
          </w:p>
        </w:tc>
        <w:tc>
          <w:tcPr>
            <w:tcW w:w="1843" w:type="dxa"/>
            <w:shd w:val="clear" w:color="auto" w:fill="DEEAF6"/>
          </w:tcPr>
          <w:p w:rsidR="007D24AB" w:rsidRDefault="00A8278F">
            <w:pPr>
              <w:pBdr>
                <w:top w:val="nil"/>
                <w:left w:val="nil"/>
                <w:bottom w:val="nil"/>
                <w:right w:val="nil"/>
                <w:between w:val="nil"/>
              </w:pBdr>
              <w:spacing w:before="23"/>
              <w:ind w:left="107" w:right="93"/>
              <w:jc w:val="center"/>
              <w:rPr>
                <w:rFonts w:ascii="Arial" w:eastAsia="Arial" w:hAnsi="Arial" w:cs="Arial"/>
                <w:b/>
                <w:color w:val="000000"/>
                <w:sz w:val="20"/>
                <w:szCs w:val="20"/>
              </w:rPr>
            </w:pPr>
            <w:r>
              <w:rPr>
                <w:rFonts w:ascii="Arial" w:eastAsia="Arial" w:hAnsi="Arial" w:cs="Arial"/>
                <w:b/>
                <w:color w:val="000000"/>
                <w:sz w:val="20"/>
                <w:szCs w:val="20"/>
              </w:rPr>
              <w:t>Formato</w:t>
            </w:r>
          </w:p>
        </w:tc>
      </w:tr>
      <w:tr w:rsidR="007D24AB">
        <w:trPr>
          <w:trHeight w:val="315"/>
        </w:trPr>
        <w:tc>
          <w:tcPr>
            <w:tcW w:w="2167" w:type="dxa"/>
            <w:vAlign w:val="center"/>
          </w:tcPr>
          <w:p w:rsidR="007D24AB" w:rsidRDefault="00A8278F">
            <w:pPr>
              <w:spacing w:before="1"/>
              <w:ind w:left="110"/>
              <w:jc w:val="center"/>
              <w:rPr>
                <w:rFonts w:ascii="Arial" w:eastAsia="Arial" w:hAnsi="Arial" w:cs="Arial"/>
                <w:b/>
                <w:sz w:val="16"/>
                <w:szCs w:val="16"/>
              </w:rPr>
            </w:pPr>
            <w:r>
              <w:rPr>
                <w:rFonts w:ascii="Arial" w:eastAsia="Arial" w:hAnsi="Arial" w:cs="Arial"/>
                <w:b/>
                <w:sz w:val="16"/>
                <w:szCs w:val="16"/>
              </w:rPr>
              <w:t>N</w:t>
            </w:r>
          </w:p>
        </w:tc>
        <w:tc>
          <w:tcPr>
            <w:tcW w:w="4110" w:type="dxa"/>
            <w:vAlign w:val="center"/>
          </w:tcPr>
          <w:p w:rsidR="007D24AB" w:rsidRDefault="00A8278F">
            <w:pPr>
              <w:ind w:left="132" w:right="151"/>
              <w:jc w:val="both"/>
              <w:rPr>
                <w:rFonts w:ascii="Arial" w:eastAsia="Arial" w:hAnsi="Arial" w:cs="Arial"/>
                <w:sz w:val="20"/>
                <w:szCs w:val="20"/>
              </w:rPr>
            </w:pPr>
            <w:r>
              <w:rPr>
                <w:rFonts w:ascii="Arial" w:eastAsia="Arial" w:hAnsi="Arial" w:cs="Arial"/>
                <w:sz w:val="20"/>
                <w:szCs w:val="20"/>
              </w:rPr>
              <w:t xml:space="preserve">Número de registro del </w:t>
            </w:r>
            <w:proofErr w:type="spellStart"/>
            <w:r>
              <w:rPr>
                <w:rFonts w:ascii="Arial" w:eastAsia="Arial" w:hAnsi="Arial" w:cs="Arial"/>
                <w:sz w:val="20"/>
                <w:szCs w:val="20"/>
              </w:rPr>
              <w:t>dataset</w:t>
            </w:r>
            <w:proofErr w:type="spellEnd"/>
          </w:p>
        </w:tc>
        <w:tc>
          <w:tcPr>
            <w:tcW w:w="1843" w:type="dxa"/>
            <w:vAlign w:val="center"/>
          </w:tcPr>
          <w:p w:rsidR="007D24AB" w:rsidRDefault="00A8278F">
            <w:pPr>
              <w:spacing w:before="1"/>
              <w:ind w:left="107" w:right="96"/>
              <w:jc w:val="center"/>
              <w:rPr>
                <w:rFonts w:ascii="Arial" w:eastAsia="Arial" w:hAnsi="Arial" w:cs="Arial"/>
                <w:b/>
                <w:i/>
                <w:sz w:val="20"/>
                <w:szCs w:val="20"/>
              </w:rPr>
            </w:pPr>
            <w:bookmarkStart w:id="1" w:name="_gjdgxs" w:colFirst="0" w:colLast="0"/>
            <w:bookmarkEnd w:id="1"/>
            <w:r>
              <w:rPr>
                <w:rFonts w:ascii="Arial" w:eastAsia="Arial" w:hAnsi="Arial" w:cs="Arial"/>
                <w:b/>
                <w:i/>
                <w:color w:val="000000"/>
                <w:sz w:val="20"/>
                <w:szCs w:val="20"/>
              </w:rPr>
              <w:t>Numérico</w:t>
            </w:r>
          </w:p>
        </w:tc>
      </w:tr>
      <w:tr w:rsidR="007D24AB">
        <w:trPr>
          <w:trHeight w:val="315"/>
        </w:trPr>
        <w:tc>
          <w:tcPr>
            <w:tcW w:w="2167" w:type="dxa"/>
            <w:vAlign w:val="center"/>
          </w:tcPr>
          <w:p w:rsidR="007D24AB" w:rsidRDefault="00A8278F">
            <w:pPr>
              <w:ind w:left="110"/>
              <w:jc w:val="center"/>
              <w:rPr>
                <w:rFonts w:ascii="Arial" w:eastAsia="Arial" w:hAnsi="Arial" w:cs="Arial"/>
                <w:b/>
                <w:sz w:val="16"/>
                <w:szCs w:val="16"/>
              </w:rPr>
            </w:pPr>
            <w:r>
              <w:rPr>
                <w:rFonts w:ascii="Arial" w:eastAsia="Arial" w:hAnsi="Arial" w:cs="Arial"/>
                <w:b/>
                <w:sz w:val="16"/>
                <w:szCs w:val="16"/>
              </w:rPr>
              <w:t>CODIGO_PAIS</w:t>
            </w:r>
          </w:p>
        </w:tc>
        <w:tc>
          <w:tcPr>
            <w:tcW w:w="4110" w:type="dxa"/>
            <w:vAlign w:val="center"/>
          </w:tcPr>
          <w:p w:rsidR="007D24AB" w:rsidRDefault="00A8278F">
            <w:pPr>
              <w:ind w:left="132" w:right="151"/>
              <w:jc w:val="both"/>
              <w:rPr>
                <w:rFonts w:ascii="Arial" w:eastAsia="Arial" w:hAnsi="Arial" w:cs="Arial"/>
                <w:sz w:val="20"/>
                <w:szCs w:val="20"/>
              </w:rPr>
            </w:pPr>
            <w:r>
              <w:rPr>
                <w:rFonts w:ascii="Arial" w:eastAsia="Arial" w:hAnsi="Arial" w:cs="Arial"/>
                <w:sz w:val="20"/>
                <w:szCs w:val="20"/>
              </w:rPr>
              <w:t>Estándar de utilización de países</w:t>
            </w:r>
          </w:p>
          <w:p w:rsidR="007D24AB" w:rsidRDefault="00A8278F">
            <w:pPr>
              <w:ind w:left="132" w:right="151"/>
              <w:jc w:val="both"/>
              <w:rPr>
                <w:rFonts w:ascii="Arial" w:eastAsia="Arial" w:hAnsi="Arial" w:cs="Arial"/>
                <w:b/>
                <w:i/>
                <w:sz w:val="20"/>
                <w:szCs w:val="20"/>
              </w:rPr>
            </w:pPr>
            <w:r>
              <w:rPr>
                <w:rFonts w:ascii="Arial" w:eastAsia="Arial" w:hAnsi="Arial" w:cs="Arial"/>
                <w:sz w:val="20"/>
                <w:szCs w:val="20"/>
              </w:rPr>
              <w:t>ISO 3166-1 1 – Los códigos de países son los códigos cortos alfabéticos o numéricos creados para representar a los países</w:t>
            </w:r>
          </w:p>
        </w:tc>
        <w:tc>
          <w:tcPr>
            <w:tcW w:w="1843" w:type="dxa"/>
          </w:tcPr>
          <w:p w:rsidR="007D24AB" w:rsidRDefault="007D24AB">
            <w:pPr>
              <w:spacing w:before="97"/>
              <w:ind w:left="107" w:right="96"/>
              <w:jc w:val="center"/>
              <w:rPr>
                <w:rFonts w:ascii="Arial" w:eastAsia="Arial" w:hAnsi="Arial" w:cs="Arial"/>
                <w:b/>
                <w:i/>
                <w:sz w:val="20"/>
                <w:szCs w:val="20"/>
              </w:rPr>
            </w:pPr>
          </w:p>
          <w:p w:rsidR="007D24AB" w:rsidRDefault="00A8278F">
            <w:pPr>
              <w:spacing w:before="97"/>
              <w:ind w:left="107" w:right="96"/>
              <w:jc w:val="center"/>
              <w:rPr>
                <w:rFonts w:ascii="Arial" w:eastAsia="Arial" w:hAnsi="Arial" w:cs="Arial"/>
                <w:b/>
                <w:i/>
                <w:sz w:val="20"/>
                <w:szCs w:val="20"/>
              </w:rPr>
            </w:pPr>
            <w:r>
              <w:rPr>
                <w:rFonts w:ascii="Arial" w:eastAsia="Arial" w:hAnsi="Arial" w:cs="Arial"/>
                <w:b/>
                <w:i/>
                <w:sz w:val="20"/>
                <w:szCs w:val="20"/>
              </w:rPr>
              <w:t>Alfanumérico</w:t>
            </w:r>
          </w:p>
          <w:p w:rsidR="007D24AB" w:rsidRDefault="007D24AB">
            <w:pPr>
              <w:spacing w:before="97"/>
              <w:ind w:left="107" w:right="96"/>
              <w:jc w:val="center"/>
              <w:rPr>
                <w:rFonts w:ascii="Arial" w:eastAsia="Arial" w:hAnsi="Arial" w:cs="Arial"/>
                <w:b/>
                <w:i/>
                <w:sz w:val="20"/>
                <w:szCs w:val="20"/>
              </w:rPr>
            </w:pPr>
          </w:p>
          <w:p w:rsidR="007D24AB" w:rsidRDefault="007D24AB">
            <w:pPr>
              <w:spacing w:before="97"/>
              <w:ind w:left="107" w:right="96"/>
              <w:jc w:val="center"/>
              <w:rPr>
                <w:rFonts w:ascii="Arial" w:eastAsia="Arial" w:hAnsi="Arial" w:cs="Arial"/>
                <w:b/>
                <w:i/>
                <w:sz w:val="20"/>
                <w:szCs w:val="20"/>
              </w:rPr>
            </w:pPr>
          </w:p>
        </w:tc>
      </w:tr>
      <w:tr w:rsidR="007D24AB">
        <w:trPr>
          <w:trHeight w:val="315"/>
        </w:trPr>
        <w:tc>
          <w:tcPr>
            <w:tcW w:w="2167" w:type="dxa"/>
          </w:tcPr>
          <w:p w:rsidR="007D24AB" w:rsidRDefault="007D24AB">
            <w:pPr>
              <w:spacing w:line="169" w:lineRule="auto"/>
              <w:ind w:left="110"/>
              <w:jc w:val="center"/>
              <w:rPr>
                <w:rFonts w:ascii="Arial" w:eastAsia="Arial" w:hAnsi="Arial" w:cs="Arial"/>
                <w:b/>
                <w:sz w:val="16"/>
                <w:szCs w:val="16"/>
              </w:rPr>
            </w:pPr>
          </w:p>
          <w:p w:rsidR="007D24AB" w:rsidRDefault="00A8278F">
            <w:pPr>
              <w:ind w:left="110"/>
              <w:jc w:val="center"/>
              <w:rPr>
                <w:rFonts w:ascii="Arial" w:eastAsia="Arial" w:hAnsi="Arial" w:cs="Arial"/>
                <w:b/>
                <w:sz w:val="16"/>
                <w:szCs w:val="16"/>
              </w:rPr>
            </w:pPr>
            <w:r>
              <w:rPr>
                <w:rFonts w:ascii="Arial" w:eastAsia="Arial" w:hAnsi="Arial" w:cs="Arial"/>
                <w:b/>
                <w:sz w:val="16"/>
                <w:szCs w:val="16"/>
              </w:rPr>
              <w:t>CÓDIGO_ENTIDAD</w:t>
            </w:r>
          </w:p>
        </w:tc>
        <w:tc>
          <w:tcPr>
            <w:tcW w:w="4110" w:type="dxa"/>
          </w:tcPr>
          <w:p w:rsidR="007D24AB" w:rsidRDefault="00A8278F">
            <w:pPr>
              <w:ind w:left="132" w:right="151"/>
              <w:jc w:val="both"/>
              <w:rPr>
                <w:rFonts w:ascii="Arial" w:eastAsia="Arial" w:hAnsi="Arial" w:cs="Arial"/>
                <w:b/>
                <w:i/>
                <w:sz w:val="20"/>
                <w:szCs w:val="20"/>
              </w:rPr>
            </w:pPr>
            <w:r>
              <w:rPr>
                <w:rFonts w:ascii="Arial" w:eastAsia="Arial" w:hAnsi="Arial" w:cs="Arial"/>
                <w:sz w:val="20"/>
                <w:szCs w:val="20"/>
              </w:rPr>
              <w:t>Código del Ministerio de Vivienda, Construcción y Saneamiento, institución que brinda el servicio</w:t>
            </w:r>
          </w:p>
        </w:tc>
        <w:tc>
          <w:tcPr>
            <w:tcW w:w="1843" w:type="dxa"/>
          </w:tcPr>
          <w:p w:rsidR="007D24AB" w:rsidRDefault="007D24AB">
            <w:pPr>
              <w:spacing w:before="1"/>
              <w:ind w:left="107" w:right="96"/>
              <w:jc w:val="center"/>
              <w:rPr>
                <w:rFonts w:ascii="Arial" w:eastAsia="Arial" w:hAnsi="Arial" w:cs="Arial"/>
                <w:b/>
                <w:i/>
                <w:color w:val="000000"/>
                <w:sz w:val="20"/>
                <w:szCs w:val="20"/>
              </w:rPr>
            </w:pPr>
          </w:p>
          <w:p w:rsidR="007D24AB" w:rsidRDefault="00A8278F">
            <w:pPr>
              <w:spacing w:before="1"/>
              <w:ind w:left="107" w:right="96"/>
              <w:jc w:val="center"/>
              <w:rPr>
                <w:rFonts w:ascii="Arial" w:eastAsia="Arial" w:hAnsi="Arial" w:cs="Arial"/>
                <w:b/>
                <w:i/>
                <w:sz w:val="20"/>
                <w:szCs w:val="20"/>
              </w:rPr>
            </w:pPr>
            <w:r>
              <w:rPr>
                <w:rFonts w:ascii="Arial" w:eastAsia="Arial" w:hAnsi="Arial" w:cs="Arial"/>
                <w:b/>
                <w:i/>
                <w:color w:val="000000"/>
                <w:sz w:val="20"/>
                <w:szCs w:val="20"/>
              </w:rPr>
              <w:t>Numérico</w:t>
            </w:r>
          </w:p>
        </w:tc>
      </w:tr>
      <w:tr w:rsidR="007D24AB">
        <w:trPr>
          <w:trHeight w:val="315"/>
        </w:trPr>
        <w:tc>
          <w:tcPr>
            <w:tcW w:w="2167" w:type="dxa"/>
            <w:vAlign w:val="center"/>
          </w:tcPr>
          <w:p w:rsidR="007D24AB" w:rsidRDefault="00A8278F">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PROGRAMA</w:t>
            </w:r>
          </w:p>
        </w:tc>
        <w:tc>
          <w:tcPr>
            <w:tcW w:w="4110" w:type="dxa"/>
            <w:vAlign w:val="center"/>
          </w:tcPr>
          <w:p w:rsidR="007D24AB" w:rsidRDefault="00A8278F">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El PNSU (Programa Nacional de Saneamiento Urbano), es un Programa del MVCS bajo el ámbito del Viceministerio de Construcción y Saneamiento, orientado a posibilitar el acceso a la población del ámbito urbano a los servicios de saneamiento de calidad y soste</w:t>
            </w:r>
            <w:r>
              <w:rPr>
                <w:rFonts w:ascii="Arial" w:eastAsia="Arial" w:hAnsi="Arial" w:cs="Arial"/>
                <w:sz w:val="20"/>
                <w:szCs w:val="20"/>
              </w:rPr>
              <w:t xml:space="preserve">nibles. </w:t>
            </w:r>
          </w:p>
        </w:tc>
        <w:tc>
          <w:tcPr>
            <w:tcW w:w="1843" w:type="dxa"/>
            <w:vAlign w:val="center"/>
          </w:tcPr>
          <w:p w:rsidR="007D24AB" w:rsidRDefault="00A8278F">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7D24AB">
        <w:trPr>
          <w:trHeight w:val="315"/>
        </w:trPr>
        <w:tc>
          <w:tcPr>
            <w:tcW w:w="2167" w:type="dxa"/>
            <w:vAlign w:val="center"/>
          </w:tcPr>
          <w:p w:rsidR="007D24AB" w:rsidRDefault="00A8278F">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CODIGO_SNIP</w:t>
            </w:r>
          </w:p>
        </w:tc>
        <w:tc>
          <w:tcPr>
            <w:tcW w:w="4110" w:type="dxa"/>
            <w:vAlign w:val="center"/>
          </w:tcPr>
          <w:p w:rsidR="007D24AB" w:rsidRDefault="00A8278F">
            <w:pPr>
              <w:ind w:left="132" w:right="151"/>
              <w:rPr>
                <w:rFonts w:ascii="Arial" w:eastAsia="Arial" w:hAnsi="Arial" w:cs="Arial"/>
                <w:sz w:val="20"/>
                <w:szCs w:val="20"/>
              </w:rPr>
            </w:pPr>
            <w:r>
              <w:rPr>
                <w:rFonts w:ascii="Arial" w:eastAsia="Arial" w:hAnsi="Arial" w:cs="Arial"/>
                <w:sz w:val="20"/>
                <w:szCs w:val="20"/>
              </w:rPr>
              <w:t>Es un número autogenerado que es asignado automáticamente para la identificación de un Proyecto Inversión Pública (PIP) tras su registro en el banco de proyectos, empleado anteriormente en el SNIP</w:t>
            </w:r>
          </w:p>
        </w:tc>
        <w:tc>
          <w:tcPr>
            <w:tcW w:w="1843" w:type="dxa"/>
            <w:vAlign w:val="center"/>
          </w:tcPr>
          <w:p w:rsidR="007D24AB" w:rsidRDefault="00A8278F">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Numérico</w:t>
            </w:r>
          </w:p>
        </w:tc>
      </w:tr>
      <w:tr w:rsidR="007D24AB">
        <w:trPr>
          <w:trHeight w:val="315"/>
        </w:trPr>
        <w:tc>
          <w:tcPr>
            <w:tcW w:w="2167" w:type="dxa"/>
            <w:vAlign w:val="center"/>
          </w:tcPr>
          <w:p w:rsidR="007D24AB" w:rsidRDefault="00A8278F">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CODIGO_UNIFICADO</w:t>
            </w:r>
          </w:p>
        </w:tc>
        <w:tc>
          <w:tcPr>
            <w:tcW w:w="4110" w:type="dxa"/>
            <w:vAlign w:val="center"/>
          </w:tcPr>
          <w:p w:rsidR="007D24AB" w:rsidRDefault="00A8278F">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 xml:space="preserve">Es un número autogenerado que es asignado automáticamente para la identificación de un Proyecto Inversión (PI) tras su registro en el banco de </w:t>
            </w:r>
            <w:r>
              <w:rPr>
                <w:rFonts w:ascii="Arial" w:eastAsia="Arial" w:hAnsi="Arial" w:cs="Arial"/>
                <w:sz w:val="20"/>
                <w:szCs w:val="20"/>
              </w:rPr>
              <w:lastRenderedPageBreak/>
              <w:t>inversiones, actualmente empleado en el Invierte.pe</w:t>
            </w:r>
          </w:p>
        </w:tc>
        <w:tc>
          <w:tcPr>
            <w:tcW w:w="1843" w:type="dxa"/>
            <w:vAlign w:val="center"/>
          </w:tcPr>
          <w:p w:rsidR="007D24AB" w:rsidRDefault="00A8278F">
            <w:pPr>
              <w:spacing w:before="1"/>
              <w:ind w:left="107" w:right="96"/>
              <w:jc w:val="center"/>
              <w:rPr>
                <w:rFonts w:ascii="Arial" w:eastAsia="Arial" w:hAnsi="Arial" w:cs="Arial"/>
                <w:b/>
                <w:sz w:val="20"/>
                <w:szCs w:val="20"/>
              </w:rPr>
            </w:pPr>
            <w:r>
              <w:rPr>
                <w:rFonts w:ascii="Arial" w:eastAsia="Arial" w:hAnsi="Arial" w:cs="Arial"/>
                <w:b/>
                <w:i/>
                <w:color w:val="000000"/>
                <w:sz w:val="20"/>
                <w:szCs w:val="20"/>
              </w:rPr>
              <w:lastRenderedPageBreak/>
              <w:t>Numérico</w:t>
            </w:r>
          </w:p>
        </w:tc>
      </w:tr>
      <w:tr w:rsidR="007D24AB">
        <w:trPr>
          <w:trHeight w:val="435"/>
        </w:trPr>
        <w:tc>
          <w:tcPr>
            <w:tcW w:w="2167" w:type="dxa"/>
            <w:vAlign w:val="center"/>
          </w:tcPr>
          <w:p w:rsidR="007D24AB" w:rsidRDefault="007D24AB">
            <w:pPr>
              <w:pBdr>
                <w:top w:val="nil"/>
                <w:left w:val="nil"/>
                <w:bottom w:val="nil"/>
                <w:right w:val="nil"/>
                <w:between w:val="nil"/>
              </w:pBdr>
              <w:ind w:left="110"/>
              <w:jc w:val="center"/>
              <w:rPr>
                <w:rFonts w:ascii="Arial" w:eastAsia="Arial" w:hAnsi="Arial" w:cs="Arial"/>
                <w:b/>
                <w:sz w:val="16"/>
                <w:szCs w:val="16"/>
              </w:rPr>
            </w:pPr>
          </w:p>
          <w:p w:rsidR="007D24AB" w:rsidRDefault="00A8278F">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NOMBRE</w:t>
            </w:r>
          </w:p>
        </w:tc>
        <w:tc>
          <w:tcPr>
            <w:tcW w:w="4110" w:type="dxa"/>
            <w:vAlign w:val="center"/>
          </w:tcPr>
          <w:p w:rsidR="007D24AB" w:rsidRDefault="00A8278F">
            <w:pPr>
              <w:pBdr>
                <w:top w:val="nil"/>
                <w:left w:val="nil"/>
                <w:bottom w:val="nil"/>
                <w:right w:val="nil"/>
                <w:between w:val="nil"/>
              </w:pBdr>
              <w:ind w:left="132" w:right="151"/>
              <w:jc w:val="both"/>
              <w:rPr>
                <w:rFonts w:ascii="Arial" w:eastAsia="Arial" w:hAnsi="Arial" w:cs="Arial"/>
                <w:sz w:val="20"/>
                <w:szCs w:val="20"/>
              </w:rPr>
            </w:pPr>
            <w:bookmarkStart w:id="2" w:name="_30j0zll" w:colFirst="0" w:colLast="0"/>
            <w:bookmarkEnd w:id="2"/>
            <w:r>
              <w:rPr>
                <w:rFonts w:ascii="Arial" w:eastAsia="Arial" w:hAnsi="Arial" w:cs="Arial"/>
                <w:sz w:val="20"/>
                <w:szCs w:val="20"/>
              </w:rPr>
              <w:t>Es el nombre asignado a la inversión, la misma que ha sido registrada en el banco de inversiones del Ministerio de Economía y Finanzas (MEF).</w:t>
            </w:r>
          </w:p>
        </w:tc>
        <w:tc>
          <w:tcPr>
            <w:tcW w:w="1843" w:type="dxa"/>
            <w:vAlign w:val="center"/>
          </w:tcPr>
          <w:p w:rsidR="007D24AB" w:rsidRDefault="00A8278F">
            <w:pPr>
              <w:spacing w:before="1"/>
              <w:ind w:left="107" w:right="96"/>
              <w:jc w:val="center"/>
              <w:rPr>
                <w:rFonts w:ascii="Arial" w:eastAsia="Arial" w:hAnsi="Arial" w:cs="Arial"/>
                <w:b/>
                <w:sz w:val="20"/>
                <w:szCs w:val="20"/>
              </w:rPr>
            </w:pPr>
            <w:r>
              <w:rPr>
                <w:rFonts w:ascii="Arial" w:eastAsia="Arial" w:hAnsi="Arial" w:cs="Arial"/>
                <w:b/>
                <w:i/>
                <w:color w:val="000000"/>
                <w:sz w:val="20"/>
                <w:szCs w:val="20"/>
              </w:rPr>
              <w:t>Alfanumérico</w:t>
            </w:r>
          </w:p>
        </w:tc>
      </w:tr>
      <w:tr w:rsidR="007D24AB">
        <w:trPr>
          <w:trHeight w:val="515"/>
        </w:trPr>
        <w:tc>
          <w:tcPr>
            <w:tcW w:w="2167" w:type="dxa"/>
            <w:vAlign w:val="center"/>
          </w:tcPr>
          <w:p w:rsidR="007D24AB" w:rsidRDefault="00A8278F">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UNIDAD_EJECUTORA</w:t>
            </w:r>
          </w:p>
        </w:tc>
        <w:tc>
          <w:tcPr>
            <w:tcW w:w="4110" w:type="dxa"/>
            <w:vAlign w:val="center"/>
          </w:tcPr>
          <w:p w:rsidR="007D24AB" w:rsidRDefault="00A8278F">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Es el nombre asignado a la Unidad Ejecutora de las inversiones, aquella que tienen a su cargo la ejecución y seguimiento del Proyecto de Inversión (PI).</w:t>
            </w:r>
          </w:p>
        </w:tc>
        <w:tc>
          <w:tcPr>
            <w:tcW w:w="1843" w:type="dxa"/>
            <w:vAlign w:val="center"/>
          </w:tcPr>
          <w:p w:rsidR="007D24AB" w:rsidRDefault="00A8278F">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7D24AB">
        <w:trPr>
          <w:trHeight w:val="285"/>
        </w:trPr>
        <w:tc>
          <w:tcPr>
            <w:tcW w:w="2167" w:type="dxa"/>
            <w:vAlign w:val="center"/>
          </w:tcPr>
          <w:p w:rsidR="007D24AB" w:rsidRDefault="00A8278F">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DEPARTAMENTO</w:t>
            </w:r>
          </w:p>
        </w:tc>
        <w:tc>
          <w:tcPr>
            <w:tcW w:w="4110" w:type="dxa"/>
            <w:vAlign w:val="center"/>
          </w:tcPr>
          <w:p w:rsidR="007D24AB" w:rsidRDefault="00A8278F">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color w:val="000000"/>
                <w:sz w:val="20"/>
                <w:szCs w:val="20"/>
              </w:rPr>
              <w:t>Son las jurisdicciones políticas y administrativas de mayor nivel en que se divide el Perú. Están dotados de gobiernos regionales autónomos elegidos democráticamente. El Perú cuenta con 24 departamentos.</w:t>
            </w:r>
          </w:p>
        </w:tc>
        <w:tc>
          <w:tcPr>
            <w:tcW w:w="1843" w:type="dxa"/>
            <w:vAlign w:val="center"/>
          </w:tcPr>
          <w:p w:rsidR="007D24AB" w:rsidRDefault="00A8278F">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7D24AB">
        <w:trPr>
          <w:trHeight w:val="716"/>
        </w:trPr>
        <w:tc>
          <w:tcPr>
            <w:tcW w:w="2167" w:type="dxa"/>
            <w:vAlign w:val="center"/>
          </w:tcPr>
          <w:p w:rsidR="007D24AB" w:rsidRDefault="00A8278F">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PROVINCIA</w:t>
            </w:r>
          </w:p>
        </w:tc>
        <w:tc>
          <w:tcPr>
            <w:tcW w:w="4110" w:type="dxa"/>
            <w:vAlign w:val="center"/>
          </w:tcPr>
          <w:p w:rsidR="007D24AB" w:rsidRDefault="00A8278F">
            <w:pPr>
              <w:pBdr>
                <w:top w:val="nil"/>
                <w:left w:val="nil"/>
                <w:bottom w:val="nil"/>
                <w:right w:val="nil"/>
                <w:between w:val="nil"/>
              </w:pBdr>
              <w:shd w:val="clear" w:color="auto" w:fill="FFFFFF"/>
              <w:spacing w:before="120" w:after="120"/>
              <w:ind w:left="132" w:right="151"/>
              <w:jc w:val="both"/>
              <w:rPr>
                <w:rFonts w:ascii="Arial" w:eastAsia="Arial" w:hAnsi="Arial" w:cs="Arial"/>
                <w:color w:val="000000"/>
                <w:sz w:val="20"/>
                <w:szCs w:val="20"/>
              </w:rPr>
            </w:pPr>
            <w:r>
              <w:rPr>
                <w:rFonts w:ascii="Arial" w:eastAsia="Arial" w:hAnsi="Arial" w:cs="Arial"/>
                <w:color w:val="000000"/>
                <w:sz w:val="20"/>
                <w:szCs w:val="20"/>
              </w:rPr>
              <w:t>Son subdivisiones de los departamentos; son las jurisdicciones político-administrativos de segundo orden, por detrás de los departamentos y por delante de los distritos y centros poblados. El gobierno de cada provincia está a cargo de una municipalidad pro</w:t>
            </w:r>
            <w:r>
              <w:rPr>
                <w:rFonts w:ascii="Arial" w:eastAsia="Arial" w:hAnsi="Arial" w:cs="Arial"/>
                <w:color w:val="000000"/>
                <w:sz w:val="20"/>
                <w:szCs w:val="20"/>
              </w:rPr>
              <w:t>vincial encabezada por un alcalde elegido por sufragio universal cada cuatro años. El Perú cuenta con un total de 196 provincias.</w:t>
            </w:r>
          </w:p>
        </w:tc>
        <w:tc>
          <w:tcPr>
            <w:tcW w:w="1843" w:type="dxa"/>
            <w:vAlign w:val="center"/>
          </w:tcPr>
          <w:p w:rsidR="007D24AB" w:rsidRDefault="00A8278F">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7D24AB">
        <w:trPr>
          <w:trHeight w:val="285"/>
        </w:trPr>
        <w:tc>
          <w:tcPr>
            <w:tcW w:w="2167" w:type="dxa"/>
            <w:vAlign w:val="center"/>
          </w:tcPr>
          <w:p w:rsidR="007D24AB" w:rsidRDefault="00A8278F">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DISTRITO</w:t>
            </w:r>
          </w:p>
        </w:tc>
        <w:tc>
          <w:tcPr>
            <w:tcW w:w="4110" w:type="dxa"/>
            <w:vAlign w:val="center"/>
          </w:tcPr>
          <w:p w:rsidR="007D24AB" w:rsidRDefault="00A8278F">
            <w:pPr>
              <w:pBdr>
                <w:top w:val="nil"/>
                <w:left w:val="nil"/>
                <w:bottom w:val="nil"/>
                <w:right w:val="nil"/>
                <w:between w:val="nil"/>
              </w:pBdr>
              <w:shd w:val="clear" w:color="auto" w:fill="FFFFFF"/>
              <w:spacing w:before="120" w:after="120"/>
              <w:ind w:left="132" w:right="151"/>
              <w:jc w:val="both"/>
              <w:rPr>
                <w:rFonts w:ascii="Arial" w:eastAsia="Arial" w:hAnsi="Arial" w:cs="Arial"/>
                <w:color w:val="000000"/>
                <w:sz w:val="20"/>
                <w:szCs w:val="20"/>
              </w:rPr>
            </w:pPr>
            <w:r>
              <w:rPr>
                <w:rFonts w:ascii="Arial" w:eastAsia="Arial" w:hAnsi="Arial" w:cs="Arial"/>
                <w:color w:val="000000"/>
                <w:sz w:val="20"/>
                <w:szCs w:val="20"/>
              </w:rPr>
              <w:t>Son subdivisiones de las </w:t>
            </w:r>
            <w:hyperlink r:id="rId8">
              <w:r>
                <w:rPr>
                  <w:rFonts w:ascii="Arial" w:eastAsia="Arial" w:hAnsi="Arial" w:cs="Arial"/>
                  <w:color w:val="000000"/>
                  <w:sz w:val="20"/>
                  <w:szCs w:val="20"/>
                </w:rPr>
                <w:t>provincias</w:t>
              </w:r>
            </w:hyperlink>
            <w:r>
              <w:rPr>
                <w:rFonts w:ascii="Arial" w:eastAsia="Arial" w:hAnsi="Arial" w:cs="Arial"/>
                <w:color w:val="000000"/>
                <w:sz w:val="20"/>
                <w:szCs w:val="20"/>
              </w:rPr>
              <w:t>, de menor categoría en jurisdicciones político-administrativos del país. El gobierno de cada distrito está a cargo de una municipalidad distrital encabezada por un alcalde elegido por sufragio universal cada 4 años. El Perú cuenta con un total d</w:t>
            </w:r>
            <w:r>
              <w:rPr>
                <w:rFonts w:ascii="Arial" w:eastAsia="Arial" w:hAnsi="Arial" w:cs="Arial"/>
                <w:color w:val="000000"/>
                <w:sz w:val="20"/>
                <w:szCs w:val="20"/>
              </w:rPr>
              <w:t xml:space="preserve">e 1874 distritos en el Perú. </w:t>
            </w:r>
          </w:p>
        </w:tc>
        <w:tc>
          <w:tcPr>
            <w:tcW w:w="1843" w:type="dxa"/>
            <w:vAlign w:val="center"/>
          </w:tcPr>
          <w:p w:rsidR="007D24AB" w:rsidRDefault="00A8278F">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7D24AB">
        <w:trPr>
          <w:trHeight w:val="285"/>
        </w:trPr>
        <w:tc>
          <w:tcPr>
            <w:tcW w:w="2167" w:type="dxa"/>
            <w:vAlign w:val="center"/>
          </w:tcPr>
          <w:p w:rsidR="007D24AB" w:rsidRDefault="00A8278F">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POBLACION_BENEFICIADA_SSP</w:t>
            </w:r>
          </w:p>
        </w:tc>
        <w:tc>
          <w:tcPr>
            <w:tcW w:w="4110" w:type="dxa"/>
            <w:vAlign w:val="center"/>
          </w:tcPr>
          <w:p w:rsidR="007D24AB" w:rsidRDefault="00A8278F">
            <w:pPr>
              <w:pBdr>
                <w:top w:val="nil"/>
                <w:left w:val="nil"/>
                <w:bottom w:val="nil"/>
                <w:right w:val="nil"/>
                <w:between w:val="nil"/>
              </w:pBdr>
              <w:shd w:val="clear" w:color="auto" w:fill="FFFFFF"/>
              <w:spacing w:before="120" w:after="120"/>
              <w:ind w:left="132" w:right="151"/>
              <w:jc w:val="both"/>
              <w:rPr>
                <w:rFonts w:ascii="Arial" w:eastAsia="Arial" w:hAnsi="Arial" w:cs="Arial"/>
                <w:color w:val="000000"/>
                <w:sz w:val="20"/>
                <w:szCs w:val="20"/>
              </w:rPr>
            </w:pPr>
            <w:r>
              <w:rPr>
                <w:rFonts w:ascii="Arial" w:eastAsia="Arial" w:hAnsi="Arial" w:cs="Arial"/>
                <w:sz w:val="20"/>
                <w:szCs w:val="20"/>
              </w:rPr>
              <w:t>Es el número de habitantes que se encuentran en el ámbito de intervención del proyecto, los mismos que se beneficiarán con la inversión (durante el desarrollo del proyecto, este dato se registra en el Sistema de Seguimiento de Proyectos (SSP) del MVCS.</w:t>
            </w:r>
          </w:p>
        </w:tc>
        <w:tc>
          <w:tcPr>
            <w:tcW w:w="1843" w:type="dxa"/>
            <w:vAlign w:val="center"/>
          </w:tcPr>
          <w:p w:rsidR="007D24AB" w:rsidRDefault="00A8278F">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Numérico</w:t>
            </w:r>
          </w:p>
        </w:tc>
      </w:tr>
      <w:tr w:rsidR="007D24AB">
        <w:trPr>
          <w:trHeight w:val="285"/>
        </w:trPr>
        <w:tc>
          <w:tcPr>
            <w:tcW w:w="2167" w:type="dxa"/>
            <w:vAlign w:val="center"/>
          </w:tcPr>
          <w:p w:rsidR="007D24AB" w:rsidRDefault="00A8278F">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MONTO_ACTUALIZADO_PIP</w:t>
            </w:r>
          </w:p>
        </w:tc>
        <w:tc>
          <w:tcPr>
            <w:tcW w:w="4110" w:type="dxa"/>
            <w:vAlign w:val="center"/>
          </w:tcPr>
          <w:p w:rsidR="007D24AB" w:rsidRDefault="00A8278F">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 xml:space="preserve">Es el monto al que asciende la inversión, el cual considera la ejecución y supervisión de la misma. </w:t>
            </w:r>
          </w:p>
        </w:tc>
        <w:tc>
          <w:tcPr>
            <w:tcW w:w="1843" w:type="dxa"/>
            <w:vAlign w:val="center"/>
          </w:tcPr>
          <w:p w:rsidR="007D24AB" w:rsidRDefault="00A8278F">
            <w:pPr>
              <w:spacing w:before="1"/>
              <w:ind w:left="107" w:right="96"/>
              <w:jc w:val="center"/>
              <w:rPr>
                <w:rFonts w:ascii="Arial" w:eastAsia="Arial" w:hAnsi="Arial" w:cs="Arial"/>
                <w:b/>
                <w:sz w:val="20"/>
                <w:szCs w:val="20"/>
              </w:rPr>
            </w:pPr>
            <w:r>
              <w:rPr>
                <w:rFonts w:ascii="Arial" w:eastAsia="Arial" w:hAnsi="Arial" w:cs="Arial"/>
                <w:b/>
                <w:i/>
                <w:color w:val="000000"/>
                <w:sz w:val="20"/>
                <w:szCs w:val="20"/>
              </w:rPr>
              <w:t>Numérico</w:t>
            </w:r>
          </w:p>
        </w:tc>
      </w:tr>
      <w:tr w:rsidR="007D24AB">
        <w:trPr>
          <w:trHeight w:val="405"/>
        </w:trPr>
        <w:tc>
          <w:tcPr>
            <w:tcW w:w="2167" w:type="dxa"/>
            <w:vAlign w:val="center"/>
          </w:tcPr>
          <w:p w:rsidR="007D24AB" w:rsidRDefault="00A8278F">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MODALIDAD_FINANCIAMIENTO</w:t>
            </w:r>
          </w:p>
        </w:tc>
        <w:tc>
          <w:tcPr>
            <w:tcW w:w="4110" w:type="dxa"/>
            <w:vAlign w:val="center"/>
          </w:tcPr>
          <w:p w:rsidR="007D24AB" w:rsidRDefault="00A8278F">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 xml:space="preserve">Tipo de financiamiento realizado para el desarrollo de la inversión, pudiendo ser; </w:t>
            </w:r>
            <w:r>
              <w:rPr>
                <w:rFonts w:ascii="Arial" w:eastAsia="Arial" w:hAnsi="Arial" w:cs="Arial"/>
                <w:sz w:val="20"/>
                <w:szCs w:val="20"/>
              </w:rPr>
              <w:lastRenderedPageBreak/>
              <w:t>transferencia, por Contrata, por Obras por impuestos y a través de Núcleo Ejecutor.</w:t>
            </w:r>
          </w:p>
        </w:tc>
        <w:tc>
          <w:tcPr>
            <w:tcW w:w="1843" w:type="dxa"/>
            <w:vAlign w:val="center"/>
          </w:tcPr>
          <w:p w:rsidR="007D24AB" w:rsidRDefault="00A8278F">
            <w:pPr>
              <w:spacing w:before="1"/>
              <w:ind w:left="107" w:right="96"/>
              <w:jc w:val="center"/>
              <w:rPr>
                <w:rFonts w:ascii="Arial" w:eastAsia="Arial" w:hAnsi="Arial" w:cs="Arial"/>
                <w:b/>
                <w:sz w:val="20"/>
                <w:szCs w:val="20"/>
              </w:rPr>
            </w:pPr>
            <w:r>
              <w:rPr>
                <w:rFonts w:ascii="Arial" w:eastAsia="Arial" w:hAnsi="Arial" w:cs="Arial"/>
                <w:b/>
                <w:i/>
                <w:color w:val="000000"/>
                <w:sz w:val="20"/>
                <w:szCs w:val="20"/>
              </w:rPr>
              <w:lastRenderedPageBreak/>
              <w:t>Alfanumérico</w:t>
            </w:r>
          </w:p>
        </w:tc>
      </w:tr>
      <w:tr w:rsidR="007D24AB">
        <w:trPr>
          <w:trHeight w:val="330"/>
        </w:trPr>
        <w:tc>
          <w:tcPr>
            <w:tcW w:w="2167" w:type="dxa"/>
            <w:vAlign w:val="center"/>
          </w:tcPr>
          <w:p w:rsidR="007D24AB" w:rsidRDefault="00A8278F">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TIPO_EJECUCION</w:t>
            </w:r>
          </w:p>
        </w:tc>
        <w:tc>
          <w:tcPr>
            <w:tcW w:w="4110" w:type="dxa"/>
            <w:vAlign w:val="center"/>
          </w:tcPr>
          <w:p w:rsidR="007D24AB" w:rsidRDefault="00A8278F">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Es la modalidad de contratación para la elaboración del expediente técnico o ejecución de obra.</w:t>
            </w:r>
          </w:p>
        </w:tc>
        <w:tc>
          <w:tcPr>
            <w:tcW w:w="1843" w:type="dxa"/>
            <w:vAlign w:val="center"/>
          </w:tcPr>
          <w:p w:rsidR="007D24AB" w:rsidRDefault="00A8278F">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7D24AB">
        <w:trPr>
          <w:trHeight w:val="405"/>
        </w:trPr>
        <w:tc>
          <w:tcPr>
            <w:tcW w:w="2167" w:type="dxa"/>
            <w:vAlign w:val="center"/>
          </w:tcPr>
          <w:p w:rsidR="007D24AB" w:rsidRDefault="00A8278F">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ETAPA_INVERSION</w:t>
            </w:r>
          </w:p>
        </w:tc>
        <w:tc>
          <w:tcPr>
            <w:tcW w:w="4110" w:type="dxa"/>
            <w:vAlign w:val="center"/>
          </w:tcPr>
          <w:p w:rsidR="007D24AB" w:rsidRDefault="00A8278F">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Es la etapa en la que se encuentra la inversión.</w:t>
            </w:r>
          </w:p>
        </w:tc>
        <w:tc>
          <w:tcPr>
            <w:tcW w:w="1843" w:type="dxa"/>
            <w:vAlign w:val="center"/>
          </w:tcPr>
          <w:p w:rsidR="007D24AB" w:rsidRDefault="00A8278F">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7D24AB">
        <w:trPr>
          <w:trHeight w:val="389"/>
        </w:trPr>
        <w:tc>
          <w:tcPr>
            <w:tcW w:w="2167" w:type="dxa"/>
            <w:vAlign w:val="center"/>
          </w:tcPr>
          <w:p w:rsidR="007D24AB" w:rsidRDefault="00A8278F">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ESTADO</w:t>
            </w:r>
          </w:p>
        </w:tc>
        <w:tc>
          <w:tcPr>
            <w:tcW w:w="4110" w:type="dxa"/>
            <w:vAlign w:val="center"/>
          </w:tcPr>
          <w:p w:rsidR="007D24AB" w:rsidRDefault="00A8278F">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Situación actual en la que se encuentra la inversión</w:t>
            </w:r>
          </w:p>
        </w:tc>
        <w:tc>
          <w:tcPr>
            <w:tcW w:w="1843" w:type="dxa"/>
          </w:tcPr>
          <w:p w:rsidR="007D24AB" w:rsidRDefault="00A8278F">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bl>
    <w:p w:rsidR="007D24AB" w:rsidRDefault="007D24AB">
      <w:pPr>
        <w:rPr>
          <w:rFonts w:ascii="Arial" w:eastAsia="Arial" w:hAnsi="Arial" w:cs="Arial"/>
        </w:rPr>
      </w:pPr>
    </w:p>
    <w:sectPr w:rsidR="007D24AB">
      <w:pgSz w:w="11906" w:h="16838"/>
      <w:pgMar w:top="1417" w:right="1701" w:bottom="1417" w:left="1701" w:header="708" w:footer="708"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B3858"/>
    <w:multiLevelType w:val="multilevel"/>
    <w:tmpl w:val="67DC02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4AB"/>
    <w:rsid w:val="007D24AB"/>
    <w:rsid w:val="00A8278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3B8BE-7BEC-4EE0-B470-C07270F7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s.wikipedia.org/wiki/Provincias_del_Per%C3%BA" TargetMode="External"/><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681</Words>
  <Characters>3748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ERICK TEODORO MALDONADO CUZCANO</cp:lastModifiedBy>
  <cp:revision>2</cp:revision>
  <dcterms:created xsi:type="dcterms:W3CDTF">2021-07-23T17:05:00Z</dcterms:created>
  <dcterms:modified xsi:type="dcterms:W3CDTF">2021-07-23T17:06:00Z</dcterms:modified>
</cp:coreProperties>
</file>