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ind w:firstLine="512"/>
        <w:rPr/>
      </w:pPr>
      <w:r w:rsidDel="00000000" w:rsidR="00000000" w:rsidRPr="00000000">
        <w:rPr/>
        <mc:AlternateContent>
          <mc:Choice Requires="wpg">
            <w:drawing>
              <wp:inline distB="0" distT="0" distL="114300" distR="114300">
                <wp:extent cx="6858000" cy="1371600"/>
                <wp:effectExtent b="0" l="0" r="0" t="0"/>
                <wp:docPr id="3" name=""/>
                <a:graphic>
                  <a:graphicData uri="http://schemas.microsoft.com/office/word/2010/wordprocessingGroup">
                    <wpg:wgp>
                      <wpg:cNvGrpSpPr/>
                      <wpg:grpSpPr>
                        <a:xfrm>
                          <a:off x="1917000" y="3094200"/>
                          <a:ext cx="6858000" cy="1371600"/>
                          <a:chOff x="1917000" y="3094200"/>
                          <a:chExt cx="6858000" cy="1371600"/>
                        </a:xfrm>
                      </wpg:grpSpPr>
                      <wpg:grpSp>
                        <wpg:cNvGrpSpPr/>
                        <wpg:grpSpPr>
                          <a:xfrm>
                            <a:off x="1917000" y="3094200"/>
                            <a:ext cx="6858000" cy="1371600"/>
                            <a:chOff x="1917000" y="3094200"/>
                            <a:chExt cx="6858000" cy="1371600"/>
                          </a:xfrm>
                        </wpg:grpSpPr>
                        <wps:wsp>
                          <wps:cNvSpPr/>
                          <wps:cNvPr id="5" name="Shape 5"/>
                          <wps:spPr>
                            <a:xfrm>
                              <a:off x="1917000" y="309420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000" y="3094200"/>
                              <a:ext cx="6858000" cy="1371600"/>
                              <a:chOff x="1917000" y="3094200"/>
                              <a:chExt cx="6858000" cy="1371600"/>
                            </a:xfrm>
                          </wpg:grpSpPr>
                          <wps:wsp>
                            <wps:cNvSpPr/>
                            <wps:cNvPr id="7" name="Shape 7"/>
                            <wps:spPr>
                              <a:xfrm>
                                <a:off x="1917000" y="309420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7000" y="3094200"/>
                                <a:ext cx="6858000" cy="1371600"/>
                                <a:chOff x="0" y="0"/>
                                <a:chExt cx="6858000" cy="1371600"/>
                              </a:xfrm>
                            </wpg:grpSpPr>
                            <wps:wsp>
                              <wps:cNvSpPr/>
                              <wps:cNvPr id="9" name="Shape 9"/>
                              <wps:spPr>
                                <a:xfrm>
                                  <a:off x="0" y="0"/>
                                  <a:ext cx="6858000" cy="137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6858000" cy="1371600"/>
                                </a:xfrm>
                                <a:prstGeom prst="rect">
                                  <a:avLst/>
                                </a:prstGeom>
                                <a:solidFill>
                                  <a:srgbClr val="C0504D"/>
                                </a:solidFill>
                                <a:ln cap="flat" cmpd="sng" w="38100">
                                  <a:solidFill>
                                    <a:srgbClr val="F2F2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inline>
            </w:drawing>
          </mc:Choice>
          <mc:Fallback>
            <w:drawing>
              <wp:inline distB="0" distT="0" distL="114300" distR="114300">
                <wp:extent cx="6858000" cy="1371600"/>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858000" cy="1371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color w:val="0070c0"/>
          <w:sz w:val="18"/>
          <w:szCs w:val="18"/>
        </w:rPr>
      </w:pPr>
      <w:r w:rsidDel="00000000" w:rsidR="00000000" w:rsidRPr="00000000">
        <w:rPr>
          <w:rtl w:val="0"/>
        </w:rPr>
      </w:r>
    </w:p>
    <w:p w:rsidR="00000000" w:rsidDel="00000000" w:rsidP="00000000" w:rsidRDefault="00000000" w:rsidRPr="00000000" w14:paraId="00000003">
      <w:pPr>
        <w:pStyle w:val="Title"/>
        <w:ind w:firstLine="1788"/>
        <w:rPr>
          <w:color w:val="0070c0"/>
          <w:sz w:val="64"/>
          <w:szCs w:val="64"/>
        </w:rPr>
      </w:pPr>
      <w:r w:rsidDel="00000000" w:rsidR="00000000" w:rsidRPr="00000000">
        <w:rPr>
          <w:color w:val="0070c0"/>
          <w:sz w:val="64"/>
          <w:szCs w:val="64"/>
          <w:rtl w:val="0"/>
        </w:rPr>
        <w:t xml:space="preserve">DICCIONARIO DE DATOS</w:t>
      </w:r>
    </w:p>
    <w:p w:rsidR="00000000" w:rsidDel="00000000" w:rsidP="00000000" w:rsidRDefault="00000000" w:rsidRPr="00000000" w14:paraId="00000004">
      <w:pPr>
        <w:spacing w:before="1" w:lineRule="auto"/>
        <w:ind w:left="784" w:right="1250" w:firstLine="0"/>
        <w:rPr>
          <w:sz w:val="40"/>
          <w:szCs w:val="40"/>
        </w:rPr>
      </w:pPr>
      <w:bookmarkStart w:colFirst="0" w:colLast="0" w:name="_gjdgxs" w:id="0"/>
      <w:bookmarkEnd w:id="0"/>
      <w:r w:rsidDel="00000000" w:rsidR="00000000" w:rsidRPr="00000000">
        <w:rPr>
          <w:b w:val="1"/>
          <w:color w:val="006fc0"/>
          <w:sz w:val="40"/>
          <w:szCs w:val="40"/>
          <w:rtl w:val="0"/>
        </w:rPr>
        <w:t xml:space="preserve">DATASET: </w:t>
      </w:r>
      <w:r w:rsidDel="00000000" w:rsidR="00000000" w:rsidRPr="00000000">
        <w:rPr>
          <w:sz w:val="40"/>
          <w:szCs w:val="40"/>
          <w:rtl w:val="0"/>
        </w:rPr>
        <w:t xml:space="preserve">Proyectos de Inversión en la modalidad de ejecución de Núcleo Ejecutor del Programa Nacional de Saneamiento Rural</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0" w:lineRule="auto"/>
        <w:rPr>
          <w:b w:val="1"/>
          <w:color w:val="000000"/>
          <w:sz w:val="16"/>
          <w:szCs w:val="16"/>
        </w:rPr>
        <w:sectPr>
          <w:pgSz w:h="15840" w:w="12240" w:orient="portrait"/>
          <w:pgMar w:bottom="280" w:top="720" w:left="620" w:right="62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6896100" cy="6894830"/>
                <wp:effectExtent b="0" l="0" r="0" t="0"/>
                <wp:wrapTopAndBottom distB="0" distT="0"/>
                <wp:docPr id="1" name=""/>
                <a:graphic>
                  <a:graphicData uri="http://schemas.microsoft.com/office/word/2010/wordprocessingShape">
                    <wps:wsp>
                      <wps:cNvSpPr/>
                      <wps:cNvPr id="2" name="Shape 2"/>
                      <wps:spPr>
                        <a:xfrm>
                          <a:off x="1910650" y="345285"/>
                          <a:ext cx="6870700" cy="6869430"/>
                        </a:xfrm>
                        <a:custGeom>
                          <a:rect b="b" l="l" r="r" t="t"/>
                          <a:pathLst>
                            <a:path extrusionOk="0" h="5951220" w="6858000">
                              <a:moveTo>
                                <a:pt x="0" y="0"/>
                              </a:moveTo>
                              <a:lnTo>
                                <a:pt x="0" y="5951220"/>
                              </a:lnTo>
                              <a:lnTo>
                                <a:pt x="6858000" y="5951220"/>
                              </a:lnTo>
                              <a:lnTo>
                                <a:pt x="6858000" y="0"/>
                              </a:lnTo>
                              <a:close/>
                            </a:path>
                          </a:pathLst>
                        </a:custGeom>
                        <a:gradFill>
                          <a:gsLst>
                            <a:gs pos="0">
                              <a:srgbClr val="622423"/>
                            </a:gs>
                            <a:gs pos="100000">
                              <a:srgbClr val="C0504D"/>
                            </a:gs>
                          </a:gsLst>
                          <a:lin ang="13500000" scaled="0"/>
                        </a:gradFill>
                        <a:ln cap="flat" cmpd="sng" w="12700">
                          <a:solidFill>
                            <a:srgbClr val="F2F2F2"/>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3196.0000610351562"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rlito" w:cs="Carlito" w:eastAsia="Carlito" w:hAnsi="Carlito"/>
                                <w:b w:val="1"/>
                                <w:i w:val="0"/>
                                <w:smallCaps w:val="0"/>
                                <w:strike w:val="0"/>
                                <w:color w:val="ffffff"/>
                                <w:sz w:val="28"/>
                                <w:vertAlign w:val="baseline"/>
                              </w:rPr>
                              <w:t xml:space="preserve">MINISTERIO DE VIVIENDA CONSTRUCCION Y SANEAMIENTO</w:t>
                            </w:r>
                          </w:p>
                          <w:p w:rsidR="00000000" w:rsidDel="00000000" w:rsidP="00000000" w:rsidRDefault="00000000" w:rsidRPr="00000000">
                            <w:pPr>
                              <w:spacing w:after="0" w:before="0" w:line="240"/>
                              <w:ind w:left="0" w:right="3196.0000610351562" w:firstLine="0"/>
                              <w:jc w:val="center"/>
                              <w:textDirection w:val="btLr"/>
                            </w:pPr>
                            <w:r w:rsidDel="00000000" w:rsidR="00000000" w:rsidRPr="00000000">
                              <w:rPr>
                                <w:rFonts w:ascii="Carlito" w:cs="Carlito" w:eastAsia="Carlito" w:hAnsi="Carlito"/>
                                <w:b w:val="1"/>
                                <w:i w:val="0"/>
                                <w:smallCaps w:val="0"/>
                                <w:strike w:val="0"/>
                                <w:color w:val="ffffff"/>
                                <w:sz w:val="28"/>
                                <w:vertAlign w:val="baseline"/>
                              </w:rPr>
                            </w:r>
                            <w:r w:rsidDel="00000000" w:rsidR="00000000" w:rsidRPr="00000000">
                              <w:rPr>
                                <w:rFonts w:ascii="Carlito" w:cs="Carlito" w:eastAsia="Carlito" w:hAnsi="Carlito"/>
                                <w:b w:val="1"/>
                                <w:i w:val="0"/>
                                <w:smallCaps w:val="0"/>
                                <w:strike w:val="0"/>
                                <w:color w:val="ffffff"/>
                                <w:sz w:val="28"/>
                                <w:vertAlign w:val="baseline"/>
                              </w:rPr>
                              <w:t xml:space="preserve">PROGRAMA NACIONAL DE SANEAMIENTO RURAL</w:t>
                            </w:r>
                          </w:p>
                          <w:p w:rsidR="00000000" w:rsidDel="00000000" w:rsidP="00000000" w:rsidRDefault="00000000" w:rsidRPr="00000000">
                            <w:pPr>
                              <w:spacing w:after="0" w:before="0" w:line="240"/>
                              <w:ind w:left="0" w:right="3196.0000610351562" w:firstLine="0"/>
                              <w:jc w:val="left"/>
                              <w:textDirection w:val="btLr"/>
                            </w:pPr>
                            <w:r w:rsidDel="00000000" w:rsidR="00000000" w:rsidRPr="00000000">
                              <w:rPr>
                                <w:rFonts w:ascii="Carlito" w:cs="Carlito" w:eastAsia="Carlito" w:hAnsi="Carlito"/>
                                <w:b w:val="1"/>
                                <w:i w:val="0"/>
                                <w:smallCaps w:val="0"/>
                                <w:strike w:val="0"/>
                                <w:color w:val="ffffff"/>
                                <w:sz w:val="28"/>
                                <w:vertAlign w:val="baseline"/>
                              </w:rPr>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6896100" cy="68948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96100" cy="6894830"/>
                        </a:xfrm>
                        <a:prstGeom prst="rect"/>
                        <a:ln/>
                      </pic:spPr>
                    </pic:pic>
                  </a:graphicData>
                </a:graphic>
              </wp:anchor>
            </w:drawing>
          </mc:Fallback>
        </mc:AlternateContent>
      </w:r>
    </w:p>
    <w:p w:rsidR="00000000" w:rsidDel="00000000" w:rsidP="00000000" w:rsidRDefault="00000000" w:rsidRPr="00000000" w14:paraId="00000006">
      <w:pPr>
        <w:pStyle w:val="Heading1"/>
        <w:numPr>
          <w:ilvl w:val="0"/>
          <w:numId w:val="1"/>
        </w:numPr>
        <w:tabs>
          <w:tab w:val="left" w:pos="874"/>
        </w:tabs>
        <w:spacing w:before="0" w:lineRule="auto"/>
        <w:ind w:left="873" w:hanging="362"/>
        <w:rPr/>
      </w:pPr>
      <w:r w:rsidDel="00000000" w:rsidR="00000000" w:rsidRPr="00000000">
        <w:rPr>
          <w:rFonts w:ascii="Arial" w:cs="Arial" w:eastAsia="Arial" w:hAnsi="Arial"/>
          <w:sz w:val="20"/>
          <w:szCs w:val="20"/>
          <w:rtl w:val="0"/>
        </w:rPr>
        <w:t xml:space="preserve">Resumen:</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0"/>
          <w:szCs w:val="20"/>
        </w:rPr>
      </w:pPr>
      <w:bookmarkStart w:colFirst="0" w:colLast="0" w:name="_30j0zll" w:id="1"/>
      <w:bookmarkEnd w:id="1"/>
      <w:r w:rsidDel="00000000" w:rsidR="00000000" w:rsidRPr="00000000">
        <w:rPr>
          <w:rFonts w:ascii="Arial" w:cs="Arial" w:eastAsia="Arial" w:hAnsi="Arial"/>
          <w:color w:val="000000"/>
          <w:sz w:val="20"/>
          <w:szCs w:val="20"/>
          <w:rtl w:val="0"/>
        </w:rPr>
        <w:t xml:space="preserve">El Programa Nacional de Saneamiento Rural (PNSR) del Ministerio de Vivienda, Construcción y Saneamiento (MVCS), tiene como objetivo principal </w:t>
      </w:r>
      <w:r w:rsidDel="00000000" w:rsidR="00000000" w:rsidRPr="00000000">
        <w:rPr>
          <w:rFonts w:ascii="Arial" w:cs="Arial" w:eastAsia="Arial" w:hAnsi="Arial"/>
          <w:b w:val="1"/>
          <w:i w:val="1"/>
          <w:color w:val="000000"/>
          <w:sz w:val="20"/>
          <w:szCs w:val="20"/>
          <w:rtl w:val="0"/>
        </w:rPr>
        <w:t xml:space="preserve">mejorar la calidad, ampliar la cobertura y promover el uso sostenible de los servicios de agua y saneamiento en las poblaciones rurales del país, con la finalidad de posibilitar el acceso de la población del ámbito rural a los servicios de agua y saneamiento a través de una intervención integral, de calidad y sostenible</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 información presentada detalla los proyectos de inversión del PNSR bajo la modalidad de Núcleo Ejecutor.</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C">
      <w:pPr>
        <w:pStyle w:val="Heading1"/>
        <w:numPr>
          <w:ilvl w:val="0"/>
          <w:numId w:val="1"/>
        </w:numPr>
        <w:tabs>
          <w:tab w:val="left" w:pos="874"/>
        </w:tabs>
        <w:spacing w:before="0" w:lineRule="auto"/>
        <w:ind w:left="873" w:hanging="362"/>
        <w:rPr/>
      </w:pPr>
      <w:r w:rsidDel="00000000" w:rsidR="00000000" w:rsidRPr="00000000">
        <w:rPr>
          <w:rFonts w:ascii="Arial" w:cs="Arial" w:eastAsia="Arial" w:hAnsi="Arial"/>
          <w:sz w:val="20"/>
          <w:szCs w:val="20"/>
          <w:rtl w:val="0"/>
        </w:rPr>
        <w:t xml:space="preserve">Fuente del DATASET:</w:t>
      </w:r>
    </w:p>
    <w:p w:rsidR="00000000" w:rsidDel="00000000" w:rsidP="00000000" w:rsidRDefault="00000000" w:rsidRPr="00000000" w14:paraId="0000000D">
      <w:pPr>
        <w:pStyle w:val="Heading2"/>
        <w:spacing w:before="0" w:lineRule="auto"/>
        <w:ind w:firstLine="512"/>
        <w:rPr>
          <w:rFonts w:ascii="Arial" w:cs="Arial" w:eastAsia="Arial" w:hAnsi="Arial"/>
        </w:rPr>
      </w:pPr>
      <w:r w:rsidDel="00000000" w:rsidR="00000000" w:rsidRPr="00000000">
        <w:rPr>
          <w:rFonts w:ascii="Arial" w:cs="Arial" w:eastAsia="Arial" w:hAnsi="Arial"/>
          <w:rtl w:val="0"/>
        </w:rPr>
        <w:t xml:space="preserve">PROYECTOS EJECUTADOS POR PNSR MEDIANTE NÚCLEO EJECUTOR</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tabs>
          <w:tab w:val="left" w:pos="874"/>
        </w:tabs>
        <w:ind w:left="873" w:hanging="362"/>
        <w:rPr>
          <w:color w:val="000000"/>
        </w:rPr>
      </w:pPr>
      <w:r w:rsidDel="00000000" w:rsidR="00000000" w:rsidRPr="00000000">
        <w:rPr>
          <w:rFonts w:ascii="Arial" w:cs="Arial" w:eastAsia="Arial" w:hAnsi="Arial"/>
          <w:b w:val="1"/>
          <w:color w:val="000000"/>
          <w:sz w:val="20"/>
          <w:szCs w:val="20"/>
          <w:rtl w:val="0"/>
        </w:rPr>
        <w:t xml:space="preserve">Diccionario de datos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3" w:lineRule="auto"/>
        <w:rPr>
          <w:b w:val="1"/>
          <w:color w:val="000000"/>
          <w:sz w:val="14"/>
          <w:szCs w:val="14"/>
        </w:rPr>
      </w:pPr>
      <w:r w:rsidDel="00000000" w:rsidR="00000000" w:rsidRPr="00000000">
        <w:rPr>
          <w:rtl w:val="0"/>
        </w:rPr>
      </w:r>
    </w:p>
    <w:tbl>
      <w:tblPr>
        <w:tblStyle w:val="Table1"/>
        <w:tblW w:w="104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8"/>
        <w:gridCol w:w="6662"/>
        <w:gridCol w:w="1471"/>
        <w:tblGridChange w:id="0">
          <w:tblGrid>
            <w:gridCol w:w="2318"/>
            <w:gridCol w:w="6662"/>
            <w:gridCol w:w="1471"/>
          </w:tblGrid>
        </w:tblGridChange>
      </w:tblGrid>
      <w:tr>
        <w:trPr>
          <w:trHeight w:val="265" w:hRule="atLeast"/>
          <w:tblHeader w:val="0"/>
        </w:trPr>
        <w:tc>
          <w:tcPr>
            <w:shd w:fill="deeaf6" w:val="cle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ind w:left="499"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Atributos</w:t>
            </w:r>
          </w:p>
        </w:tc>
        <w:tc>
          <w:tcPr>
            <w:shd w:fill="deeaf6"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ind w:left="107" w:right="3152" w:firstLine="0"/>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Descripción</w:t>
            </w:r>
          </w:p>
        </w:tc>
        <w:tc>
          <w:tcPr>
            <w:shd w:fill="deeaf6"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ind w:left="107" w:right="93" w:firstLine="0"/>
              <w:jc w:val="center"/>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Formato</w:t>
            </w:r>
          </w:p>
        </w:tc>
      </w:tr>
      <w:tr>
        <w:trPr>
          <w:trHeight w:val="345" w:hRule="atLeast"/>
          <w:tblHeader w:val="0"/>
        </w:trPr>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w:t>
            </w:r>
          </w:p>
        </w:tc>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de registro del dataset</w:t>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ind w:left="107" w:right="95"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755" w:hRule="atLeast"/>
          <w:tblHeader w:val="0"/>
        </w:trPr>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PAIS</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Estándar de utilización de países</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107" w:firstLine="0"/>
              <w:jc w:val="both"/>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ISO 3166-1 1 – Los códigos de países son los códigos cortos alfabéticos o numéricos creados para representar a los países</w:t>
            </w:r>
          </w:p>
        </w:tc>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69" w:hRule="atLeast"/>
          <w:tblHeader w:val="0"/>
        </w:trPr>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ENTIDAD</w:t>
            </w:r>
          </w:p>
        </w:tc>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Código de Entidad Pública generadora del dataset</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ind w:right="96"/>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69" w:hRule="atLeast"/>
          <w:tblHeader w:val="0"/>
        </w:trPr>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PROGRAMA</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Programa al que pertenece la inversión dentro del Ministerio de Vivienda, Construcción y Saneamiento</w:t>
            </w:r>
          </w:p>
        </w:tc>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ind w:right="96"/>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25" w:hRule="atLeast"/>
          <w:tblHeader w:val="0"/>
        </w:trPr>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SNIP</w:t>
            </w:r>
          </w:p>
        </w:tc>
        <w:tc>
          <w:tcPr>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autogenerado que era asignado automáticamente para la identificación de un Proyecto Inversión Pública en el marco del SNIP. Los proyectos desarrollados en el ámbito del Sistema Nacional de Programación Multianual y Gestión de Inversiones el código SNIP es el Código Unificado.</w:t>
            </w:r>
          </w:p>
        </w:tc>
        <w:tc>
          <w:tcP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 </w:t>
            </w:r>
          </w:p>
        </w:tc>
      </w:tr>
      <w:tr>
        <w:trPr>
          <w:trHeight w:val="465" w:hRule="atLeast"/>
          <w:tblHeader w:val="0"/>
        </w:trPr>
        <w:tc>
          <w:tcPr>
            <w:vAlign w:val="center"/>
          </w:tcPr>
          <w:p w:rsidR="00000000" w:rsidDel="00000000" w:rsidP="00000000" w:rsidRDefault="00000000" w:rsidRPr="00000000" w14:paraId="00000029">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CODIGO UNIFICADO</w:t>
            </w:r>
          </w:p>
        </w:tc>
        <w:tc>
          <w:tcP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Código único asignado a inversión y utilizado en el Sistema Nacional de Presupuesto y en el Sistema Nacional de Programación Multianual y Gestión de Inversiones. </w:t>
            </w:r>
          </w:p>
        </w:tc>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Arial" w:cs="Arial" w:eastAsia="Arial" w:hAnsi="Arial"/>
                <w:color w:val="000000"/>
                <w:sz w:val="16"/>
                <w:szCs w:val="16"/>
              </w:rPr>
            </w:pPr>
            <w:r w:rsidDel="00000000" w:rsidR="00000000" w:rsidRPr="00000000">
              <w:rPr>
                <w:rFonts w:ascii="Arial" w:cs="Arial" w:eastAsia="Arial" w:hAnsi="Arial"/>
                <w:b w:val="1"/>
                <w:i w:val="1"/>
                <w:color w:val="000000"/>
                <w:sz w:val="16"/>
                <w:szCs w:val="16"/>
                <w:rtl w:val="0"/>
              </w:rPr>
              <w:t xml:space="preserve">Numérico </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CONVENIO</w:t>
            </w:r>
          </w:p>
        </w:tc>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de Convenio suscrito entre el Programa Nacional de Saneamiento y el Núcleo Ejecutor constituido para la ejecución de obra del proyecto</w:t>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52" w:hRule="atLeast"/>
          <w:tblHeader w:val="0"/>
        </w:trPr>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NOMBRE DEL PROYECTO</w:t>
              <w:tab/>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inversión registrado en el Banco de Inversiones del MEF.</w:t>
            </w:r>
          </w:p>
        </w:tc>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UNIDAD EJECUTORA</w:t>
            </w:r>
          </w:p>
        </w:tc>
        <w:tc>
          <w:tcP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Unidad Ejecutora (del Gobierno Nacional, Gobierno Regional o Gobierno Local) encargada de ejecutar el proyecto</w:t>
            </w:r>
          </w:p>
        </w:tc>
        <w:tc>
          <w:tcP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52" w:hRule="atLeast"/>
          <w:tblHeader w:val="0"/>
        </w:trPr>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DEPARTAMENTO</w:t>
            </w:r>
          </w:p>
        </w:tc>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del Departamento donde se ubica el proyecto</w:t>
            </w:r>
          </w:p>
        </w:tc>
        <w:tc>
          <w:tcP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3" w:hRule="atLeast"/>
          <w:tblHeader w:val="0"/>
        </w:trPr>
        <w:tc>
          <w:tcP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ind w:left="110"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PROVINCIA</w:t>
            </w:r>
          </w:p>
        </w:tc>
        <w:tc>
          <w:tcP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 la provincia donde se ubica el proyecto</w:t>
            </w:r>
          </w:p>
        </w:tc>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ind w:left="107" w:right="96" w:firstLine="0"/>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189" w:hRule="atLeast"/>
          <w:tblHeader w:val="0"/>
        </w:trPr>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DISTRITO</w:t>
            </w:r>
          </w:p>
        </w:tc>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Nombre del distrito donde se ubica el proyecto</w:t>
            </w:r>
          </w:p>
        </w:tc>
        <w:tc>
          <w:tcP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289" w:hRule="atLeast"/>
          <w:tblHeader w:val="0"/>
        </w:trPr>
        <w:tc>
          <w:tcP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POBLACION BENEFICIARIA</w:t>
            </w:r>
          </w:p>
        </w:tc>
        <w:tc>
          <w:tcP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Número de población beneficiada con el proyecto según lo registrado en el Banco de Inversiones.</w:t>
            </w:r>
          </w:p>
        </w:tc>
        <w:tc>
          <w:tcP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289" w:hRule="atLeast"/>
          <w:tblHeader w:val="0"/>
        </w:trPr>
        <w:tc>
          <w:tcP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MONTO ACTUALIZADO PIP</w:t>
            </w:r>
          </w:p>
        </w:tc>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Monto actualizado de la inversión, en soles, según lo registrado en el Banco de Inversiones.</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Numérico</w:t>
            </w:r>
          </w:p>
        </w:tc>
      </w:tr>
      <w:tr>
        <w:trPr>
          <w:trHeight w:val="289" w:hRule="atLeast"/>
          <w:tblHeader w:val="0"/>
        </w:trPr>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MODALIDAD DE FINANCIAMIMENTO</w:t>
            </w:r>
          </w:p>
        </w:tc>
        <w:tc>
          <w:tcP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Modalidad de ejecución de la etapa actual de la inversión: Contrata, Núcleo Ejecutor o transferencia.</w:t>
            </w:r>
          </w:p>
        </w:tc>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9" w:hRule="atLeast"/>
          <w:tblHeader w:val="0"/>
        </w:trPr>
        <w:tc>
          <w:tcP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TIPO DE EJECUCION</w:t>
            </w:r>
          </w:p>
        </w:tc>
        <w:tc>
          <w:tcP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Forma de ejecución de la inversión: Directa o Indirecta</w:t>
            </w:r>
          </w:p>
        </w:tc>
        <w:tc>
          <w:tcP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289" w:hRule="atLeast"/>
          <w:tblHeader w:val="0"/>
        </w:trPr>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ind w:left="110" w:right="98" w:firstLine="0"/>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ETAPA INVERSION</w:t>
            </w:r>
          </w:p>
        </w:tc>
        <w:tc>
          <w:tcP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Etapa en la que se encuentra la inversión: Pre Inversión, Expediente técnico u Obra.</w:t>
            </w:r>
          </w:p>
        </w:tc>
        <w:tc>
          <w:tcP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r>
        <w:trPr>
          <w:trHeight w:val="40" w:hRule="atLeast"/>
          <w:tblHeader w:val="0"/>
        </w:trPr>
        <w:tc>
          <w:tcP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ESTADO</w:t>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Estado del proyecto según el Sistema de Seguimiento de Proyectos (SSP) del Ministerio de Vivienda, Construcción y Saneamiento.</w:t>
            </w:r>
          </w:p>
        </w:tc>
        <w:tc>
          <w:tcP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Arial" w:cs="Arial" w:eastAsia="Arial" w:hAnsi="Arial"/>
                <w:b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r w:rsidDel="00000000" w:rsidR="00000000" w:rsidRPr="00000000">
              <w:rPr>
                <w:rtl w:val="0"/>
              </w:rPr>
            </w:r>
          </w:p>
        </w:tc>
      </w:tr>
      <w:tr>
        <w:trPr>
          <w:trHeight w:val="40" w:hRule="atLeast"/>
          <w:tblHeader w:val="0"/>
        </w:trPr>
        <w:tc>
          <w:tcP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ind w:left="110" w:right="98" w:firstLine="0"/>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ESTADO DE INVERSION (SSI-MEF)</w:t>
            </w:r>
          </w:p>
        </w:tc>
        <w:tc>
          <w:tcPr>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ind w:left="107" w:firstLine="0"/>
              <w:jc w:val="both"/>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rtl w:val="0"/>
              </w:rPr>
              <w:t xml:space="preserve">Estado de la inversión según el Banco de Inversiones Activo, Desactivado o Cerrado. </w:t>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rFonts w:ascii="Arial" w:cs="Arial" w:eastAsia="Arial" w:hAnsi="Arial"/>
                <w:b w:val="1"/>
                <w:i w:val="1"/>
                <w:color w:val="000000"/>
                <w:sz w:val="16"/>
                <w:szCs w:val="16"/>
              </w:rPr>
            </w:pPr>
            <w:r w:rsidDel="00000000" w:rsidR="00000000" w:rsidRPr="00000000">
              <w:rPr>
                <w:rFonts w:ascii="Arial" w:cs="Arial" w:eastAsia="Arial" w:hAnsi="Arial"/>
                <w:b w:val="1"/>
                <w:i w:val="1"/>
                <w:color w:val="000000"/>
                <w:sz w:val="16"/>
                <w:szCs w:val="16"/>
                <w:rtl w:val="0"/>
              </w:rPr>
              <w:t xml:space="preserve">Alfanumérico</w:t>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2" w:lineRule="auto"/>
        <w:rPr>
          <w:color w:val="000000"/>
          <w:sz w:val="21"/>
          <w:szCs w:val="21"/>
          <w:vertAlign w:val="superscrip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406400</wp:posOffset>
                </wp:positionH>
                <wp:positionV relativeFrom="paragraph">
                  <wp:posOffset>177800</wp:posOffset>
                </wp:positionV>
                <wp:extent cx="1848485" cy="31750"/>
                <wp:effectExtent b="0" l="0" r="0" t="0"/>
                <wp:wrapTopAndBottom distB="0" distT="0"/>
                <wp:docPr id="2" name=""/>
                <a:graphic>
                  <a:graphicData uri="http://schemas.microsoft.com/office/word/2010/wordprocessingShape">
                    <wps:wsp>
                      <wps:cNvSpPr/>
                      <wps:cNvPr id="3" name="Shape 3"/>
                      <wps:spPr>
                        <a:xfrm>
                          <a:off x="4431283" y="3776190"/>
                          <a:ext cx="1829435" cy="76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wp:posOffset>
                </wp:positionH>
                <wp:positionV relativeFrom="paragraph">
                  <wp:posOffset>177800</wp:posOffset>
                </wp:positionV>
                <wp:extent cx="1848485" cy="3175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48485" cy="31750"/>
                        </a:xfrm>
                        <a:prstGeom prst="rect"/>
                        <a:ln/>
                      </pic:spPr>
                    </pic:pic>
                  </a:graphicData>
                </a:graphic>
              </wp:anchor>
            </w:drawing>
          </mc:Fallback>
        </mc:AlternateConten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60" w:lineRule="auto"/>
        <w:rPr>
          <w:color w:val="000000"/>
          <w:sz w:val="21"/>
          <w:szCs w:val="21"/>
          <w:vertAlign w:val="superscript"/>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60" w:lineRule="auto"/>
        <w:rPr>
          <w:color w:val="000000"/>
          <w:sz w:val="21"/>
          <w:szCs w:val="21"/>
          <w:vertAlign w:val="superscript"/>
        </w:rPr>
      </w:pPr>
      <w:r w:rsidDel="00000000" w:rsidR="00000000" w:rsidRPr="00000000">
        <w:rPr>
          <w:rtl w:val="0"/>
        </w:rPr>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tabs>
          <w:tab w:val="left" w:pos="874"/>
        </w:tabs>
        <w:spacing w:before="1" w:lineRule="auto"/>
        <w:ind w:left="873" w:hanging="361"/>
        <w:rPr>
          <w:color w:val="000000"/>
        </w:rPr>
      </w:pPr>
      <w:r w:rsidDel="00000000" w:rsidR="00000000" w:rsidRPr="00000000">
        <w:rPr>
          <w:b w:val="1"/>
          <w:color w:val="000000"/>
          <w:sz w:val="24"/>
          <w:szCs w:val="24"/>
          <w:rtl w:val="0"/>
        </w:rPr>
        <w:t xml:space="preserve">Estándares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pos="874"/>
        </w:tabs>
        <w:spacing w:before="1" w:lineRule="auto"/>
        <w:ind w:left="873" w:firstLine="0"/>
        <w:rPr>
          <w:b w:val="1"/>
          <w:color w:val="000000"/>
          <w:sz w:val="24"/>
          <w:szCs w:val="24"/>
        </w:rPr>
      </w:pPr>
      <w:r w:rsidDel="00000000" w:rsidR="00000000" w:rsidRPr="00000000">
        <w:rPr>
          <w:rtl w:val="0"/>
        </w:rPr>
      </w:r>
    </w:p>
    <w:p w:rsidR="00000000" w:rsidDel="00000000" w:rsidP="00000000" w:rsidRDefault="00000000" w:rsidRPr="00000000" w14:paraId="00000065">
      <w:pPr>
        <w:ind w:left="993" w:right="1219" w:firstLine="0"/>
        <w:rPr/>
      </w:pPr>
      <w:r w:rsidDel="00000000" w:rsidR="00000000" w:rsidRPr="00000000">
        <w:rPr>
          <w:rtl w:val="0"/>
        </w:rPr>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before="1" w:lineRule="auto"/>
        <w:ind w:left="1713" w:right="1219" w:hanging="360"/>
        <w:rPr/>
      </w:pPr>
      <w:r w:rsidDel="00000000" w:rsidR="00000000" w:rsidRPr="00000000">
        <w:rPr>
          <w:color w:val="000000"/>
          <w:rtl w:val="0"/>
        </w:rPr>
        <w:t xml:space="preserve">ISO 3166-1 1 – Los códigos de países son los códigos cortos alfabéticos o numéricos creados para representar a los países</w:t>
      </w:r>
      <w:r w:rsidDel="00000000" w:rsidR="00000000" w:rsidRPr="00000000">
        <w:rPr>
          <w:rtl w:val="0"/>
        </w:rPr>
      </w:r>
    </w:p>
    <w:p w:rsidR="00000000" w:rsidDel="00000000" w:rsidP="00000000" w:rsidRDefault="00000000" w:rsidRPr="00000000" w14:paraId="00000067">
      <w:pPr>
        <w:ind w:left="993" w:right="1219" w:firstLine="6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4" w:lineRule="auto"/>
        <w:rPr>
          <w:i w:val="1"/>
          <w:color w:val="000000"/>
          <w:sz w:val="16"/>
          <w:szCs w:val="16"/>
        </w:rPr>
      </w:pPr>
      <w:r w:rsidDel="00000000" w:rsidR="00000000" w:rsidRPr="00000000">
        <w:rPr>
          <w:rtl w:val="0"/>
        </w:rPr>
      </w:r>
    </w:p>
    <w:sectPr>
      <w:type w:val="nextPage"/>
      <w:pgSz w:h="15840" w:w="12240" w:orient="portrait"/>
      <w:pgMar w:bottom="280" w:top="1500" w:left="620" w:right="6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 w:name="Carli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73" w:hanging="361.00000000000006"/>
      </w:pPr>
      <w:rPr>
        <w:rFonts w:ascii="Carlito" w:cs="Carlito" w:eastAsia="Carlito" w:hAnsi="Carlito"/>
        <w:b w:val="1"/>
        <w:sz w:val="28"/>
        <w:szCs w:val="28"/>
      </w:rPr>
    </w:lvl>
    <w:lvl w:ilvl="1">
      <w:start w:val="1"/>
      <w:numFmt w:val="bullet"/>
      <w:lvlText w:val="•"/>
      <w:lvlJc w:val="left"/>
      <w:pPr>
        <w:ind w:left="1892" w:hanging="361"/>
      </w:pPr>
      <w:rPr/>
    </w:lvl>
    <w:lvl w:ilvl="2">
      <w:start w:val="1"/>
      <w:numFmt w:val="bullet"/>
      <w:lvlText w:val="•"/>
      <w:lvlJc w:val="left"/>
      <w:pPr>
        <w:ind w:left="2904" w:hanging="361"/>
      </w:pPr>
      <w:rPr/>
    </w:lvl>
    <w:lvl w:ilvl="3">
      <w:start w:val="1"/>
      <w:numFmt w:val="bullet"/>
      <w:lvlText w:val="•"/>
      <w:lvlJc w:val="left"/>
      <w:pPr>
        <w:ind w:left="3916" w:hanging="361"/>
      </w:pPr>
      <w:rPr/>
    </w:lvl>
    <w:lvl w:ilvl="4">
      <w:start w:val="1"/>
      <w:numFmt w:val="bullet"/>
      <w:lvlText w:val="•"/>
      <w:lvlJc w:val="left"/>
      <w:pPr>
        <w:ind w:left="4928" w:hanging="361"/>
      </w:pPr>
      <w:rPr/>
    </w:lvl>
    <w:lvl w:ilvl="5">
      <w:start w:val="1"/>
      <w:numFmt w:val="bullet"/>
      <w:lvlText w:val="•"/>
      <w:lvlJc w:val="left"/>
      <w:pPr>
        <w:ind w:left="5940" w:hanging="361"/>
      </w:pPr>
      <w:rPr/>
    </w:lvl>
    <w:lvl w:ilvl="6">
      <w:start w:val="1"/>
      <w:numFmt w:val="bullet"/>
      <w:lvlText w:val="•"/>
      <w:lvlJc w:val="left"/>
      <w:pPr>
        <w:ind w:left="6952" w:hanging="361"/>
      </w:pPr>
      <w:rPr/>
    </w:lvl>
    <w:lvl w:ilvl="7">
      <w:start w:val="1"/>
      <w:numFmt w:val="bullet"/>
      <w:lvlText w:val="•"/>
      <w:lvlJc w:val="left"/>
      <w:pPr>
        <w:ind w:left="7964" w:hanging="361"/>
      </w:pPr>
      <w:rPr/>
    </w:lvl>
    <w:lvl w:ilvl="8">
      <w:start w:val="1"/>
      <w:numFmt w:val="bullet"/>
      <w:lvlText w:val="•"/>
      <w:lvlJc w:val="left"/>
      <w:pPr>
        <w:ind w:left="8976" w:hanging="361"/>
      </w:pPr>
      <w:rPr/>
    </w:lvl>
  </w:abstractNum>
  <w:abstractNum w:abstractNumId="2">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rlito" w:cs="Carlito" w:eastAsia="Carlito" w:hAnsi="Carlito"/>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 w:lineRule="auto"/>
      <w:ind w:left="873" w:hanging="362"/>
    </w:pPr>
    <w:rPr>
      <w:b w:val="1"/>
      <w:sz w:val="24"/>
      <w:szCs w:val="24"/>
    </w:rPr>
  </w:style>
  <w:style w:type="paragraph" w:styleId="Heading2">
    <w:name w:val="heading 2"/>
    <w:basedOn w:val="Normal"/>
    <w:next w:val="Normal"/>
    <w:pPr>
      <w:spacing w:before="119" w:lineRule="auto"/>
      <w:ind w:left="512"/>
    </w:pPr>
    <w:rPr>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834" w:lineRule="auto"/>
      <w:ind w:left="1788" w:right="1884"/>
      <w:jc w:val="center"/>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