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861" w:rsidRDefault="00CC3171">
      <w:pPr>
        <w:ind w:firstLine="720"/>
        <w:jc w:val="center"/>
        <w:rPr>
          <w:b/>
          <w:sz w:val="24"/>
          <w:szCs w:val="24"/>
          <w:u w:val="single"/>
        </w:rPr>
      </w:pPr>
      <w:r>
        <w:rPr>
          <w:b/>
          <w:sz w:val="24"/>
          <w:szCs w:val="24"/>
          <w:u w:val="single"/>
        </w:rPr>
        <w:t>METADATOS</w:t>
      </w:r>
    </w:p>
    <w:p w:rsidR="00D71861" w:rsidRDefault="00D71861"/>
    <w:p w:rsidR="00D71861" w:rsidRDefault="00CC3171">
      <w:r>
        <w:t xml:space="preserve">Metadatos del </w:t>
      </w:r>
      <w:proofErr w:type="spellStart"/>
      <w:r>
        <w:t>dataset</w:t>
      </w:r>
      <w:proofErr w:type="spellEnd"/>
      <w:r>
        <w:t xml:space="preserve">: Datos de </w:t>
      </w:r>
      <w:proofErr w:type="spellStart"/>
      <w:r>
        <w:t>reflectividad</w:t>
      </w:r>
      <w:proofErr w:type="spellEnd"/>
      <w:r>
        <w:t xml:space="preserve"> de la precipitación obtenida con el radar </w:t>
      </w:r>
      <w:proofErr w:type="spellStart"/>
      <w:r>
        <w:t>SOPHy</w:t>
      </w:r>
      <w:proofErr w:type="spellEnd"/>
      <w:r>
        <w:t xml:space="preserve"> -  [Instituto Geofísico del Perú - IGP]</w:t>
      </w:r>
    </w:p>
    <w:tbl>
      <w:tblPr>
        <w:tblStyle w:val="a"/>
        <w:tblW w:w="1047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7668"/>
      </w:tblGrid>
      <w:tr w:rsidR="00D71861" w:rsidTr="00040F05">
        <w:tc>
          <w:tcPr>
            <w:tcW w:w="2802" w:type="dxa"/>
            <w:vAlign w:val="center"/>
          </w:tcPr>
          <w:p w:rsidR="00D71861" w:rsidRDefault="00CC3171">
            <w:r>
              <w:t xml:space="preserve">  </w:t>
            </w:r>
            <w:r>
              <w:rPr>
                <w:b/>
                <w:color w:val="000000"/>
                <w:sz w:val="20"/>
                <w:szCs w:val="20"/>
              </w:rPr>
              <w:t>Título</w:t>
            </w:r>
          </w:p>
        </w:tc>
        <w:tc>
          <w:tcPr>
            <w:tcW w:w="7668" w:type="dxa"/>
          </w:tcPr>
          <w:p w:rsidR="00D71861" w:rsidRDefault="00CC3171">
            <w:r>
              <w:t xml:space="preserve">Datos de </w:t>
            </w:r>
            <w:proofErr w:type="spellStart"/>
            <w:r>
              <w:t>reflectividad</w:t>
            </w:r>
            <w:proofErr w:type="spellEnd"/>
            <w:r>
              <w:t xml:space="preserve"> de la precipitación obtenida con el radar </w:t>
            </w:r>
            <w:proofErr w:type="spellStart"/>
            <w:r>
              <w:t>SOPHy</w:t>
            </w:r>
            <w:proofErr w:type="spellEnd"/>
            <w:r w:rsidR="00EA7074">
              <w:t xml:space="preserve"> -  [Instituto Geofísico del Perú - IGP]</w:t>
            </w:r>
          </w:p>
        </w:tc>
      </w:tr>
      <w:tr w:rsidR="00D71861" w:rsidTr="00040F05">
        <w:tc>
          <w:tcPr>
            <w:tcW w:w="2802" w:type="dxa"/>
            <w:vAlign w:val="center"/>
          </w:tcPr>
          <w:p w:rsidR="00D71861" w:rsidRDefault="00CC3171">
            <w:r>
              <w:rPr>
                <w:b/>
                <w:color w:val="000000"/>
                <w:sz w:val="20"/>
                <w:szCs w:val="20"/>
              </w:rPr>
              <w:t>Título URL Descripción</w:t>
            </w:r>
          </w:p>
        </w:tc>
        <w:tc>
          <w:tcPr>
            <w:tcW w:w="7668" w:type="dxa"/>
          </w:tcPr>
          <w:p w:rsidR="00040F05" w:rsidRDefault="0079393E" w:rsidP="00040F05">
            <w:hyperlink r:id="rId6" w:history="1">
              <w:r w:rsidR="00040F05" w:rsidRPr="00A93529">
                <w:rPr>
                  <w:rStyle w:val="Hipervnculo"/>
                </w:rPr>
                <w:t>https://www.datosabiertos.gob.pe/dataset/datos-de-reflectividad-de-la-precipitación-obtenida-con-el-radar-sophy-instituto-geofísico</w:t>
              </w:r>
            </w:hyperlink>
            <w:r w:rsidR="00040F05">
              <w:t xml:space="preserve"> </w:t>
            </w:r>
          </w:p>
        </w:tc>
      </w:tr>
      <w:tr w:rsidR="00D71861" w:rsidTr="00040F05">
        <w:tc>
          <w:tcPr>
            <w:tcW w:w="2802" w:type="dxa"/>
            <w:vAlign w:val="center"/>
          </w:tcPr>
          <w:p w:rsidR="00D71861" w:rsidRDefault="00CC3171">
            <w:r>
              <w:rPr>
                <w:b/>
                <w:color w:val="000000"/>
                <w:sz w:val="20"/>
                <w:szCs w:val="20"/>
              </w:rPr>
              <w:t>Descripción</w:t>
            </w:r>
          </w:p>
        </w:tc>
        <w:tc>
          <w:tcPr>
            <w:tcW w:w="7668" w:type="dxa"/>
          </w:tcPr>
          <w:p w:rsidR="00D71861" w:rsidRDefault="00CC3171">
            <w:r>
              <w:t>Las constantes lluvias ocurridas en diferentes partes de nuestro país activan distintas quebradas desencadenando eventos de huaicos y deslizamientos. Estas lluvias se incrementan aún más durante la ocurrencia del fenómeno El Niño Costero, generando así grandes pérdidas materiales y económicas, así como la invaluable pérdida de vidas humanas.</w:t>
            </w:r>
          </w:p>
          <w:p w:rsidR="00D71861" w:rsidRDefault="00D71861"/>
          <w:p w:rsidR="00D71861" w:rsidRDefault="00CC3171">
            <w:r>
              <w:t xml:space="preserve">En este contexto, el Instituto Geofísico del Perú ha construido el primer radar meteorológico de banda X (9.345 GHz) completamente desarrollado en el Perú, llamado </w:t>
            </w:r>
            <w:proofErr w:type="spellStart"/>
            <w:r>
              <w:t>SOPHy</w:t>
            </w:r>
            <w:proofErr w:type="spellEnd"/>
            <w:r>
              <w:t xml:space="preserve"> (</w:t>
            </w:r>
            <w:proofErr w:type="spellStart"/>
            <w:r>
              <w:t>Scanning-system</w:t>
            </w:r>
            <w:proofErr w:type="spellEnd"/>
            <w:r>
              <w:t xml:space="preserve"> </w:t>
            </w:r>
            <w:proofErr w:type="spellStart"/>
            <w:r>
              <w:t>for</w:t>
            </w:r>
            <w:proofErr w:type="spellEnd"/>
            <w:r>
              <w:t xml:space="preserve"> </w:t>
            </w:r>
            <w:proofErr w:type="spellStart"/>
            <w:r>
              <w:t>Observation</w:t>
            </w:r>
            <w:proofErr w:type="spellEnd"/>
            <w:r>
              <w:t xml:space="preserve"> of </w:t>
            </w:r>
            <w:proofErr w:type="spellStart"/>
            <w:r>
              <w:t>Peruvian</w:t>
            </w:r>
            <w:proofErr w:type="spellEnd"/>
            <w:r>
              <w:t xml:space="preserve"> </w:t>
            </w:r>
            <w:proofErr w:type="spellStart"/>
            <w:r>
              <w:t>Hydrometeorological-events</w:t>
            </w:r>
            <w:proofErr w:type="spellEnd"/>
            <w:r>
              <w:t>, por sus siglas en inglés). Tiene una cobertura de hasta 60 km en diferentes altitudes y analiza diferentes fases de precipitaciones.</w:t>
            </w:r>
          </w:p>
          <w:p w:rsidR="00D71861" w:rsidRDefault="00D71861"/>
          <w:p w:rsidR="00D71861" w:rsidRDefault="00CC3171">
            <w:r>
              <w:t xml:space="preserve">Este sistema es compacto, transportable y cuenta con una antena parabólica de 1.2 m de diámetro de doble polarización instalada sobre un </w:t>
            </w:r>
            <w:proofErr w:type="spellStart"/>
            <w:r>
              <w:t>posicionador</w:t>
            </w:r>
            <w:proofErr w:type="spellEnd"/>
            <w:r>
              <w:t xml:space="preserve"> que permite escanear en forma horizontal y vertical. Además, los sistemas de transmisión y recepción del radar están basados en tecnologías SDR (Software </w:t>
            </w:r>
            <w:proofErr w:type="spellStart"/>
            <w:r>
              <w:t>Defined</w:t>
            </w:r>
            <w:proofErr w:type="spellEnd"/>
            <w:r>
              <w:t xml:space="preserve"> Radio) para mayor flexibilidad en su configuración.</w:t>
            </w:r>
          </w:p>
          <w:p w:rsidR="00D71861" w:rsidRDefault="00D71861"/>
          <w:p w:rsidR="00D71861" w:rsidRDefault="00CC3171">
            <w:r>
              <w:t>El objetivo del radar es realizar mediciones de las precipitaciones en una determinada región cubriendo un área de varias decenas de kilómetros alrededor del radar para así poder realizar investigaciones sobre el clima y las condiciones atmosféricas en esta región.</w:t>
            </w:r>
          </w:p>
          <w:p w:rsidR="00D71861" w:rsidRDefault="00D71861"/>
          <w:p w:rsidR="00D71861" w:rsidRDefault="00CC3171">
            <w:r>
              <w:t xml:space="preserve">Este </w:t>
            </w:r>
            <w:proofErr w:type="spellStart"/>
            <w:r>
              <w:t>dataset</w:t>
            </w:r>
            <w:proofErr w:type="spellEnd"/>
            <w:r>
              <w:t xml:space="preserve"> está caracterizado por: </w:t>
            </w:r>
            <w:proofErr w:type="spellStart"/>
            <w:r>
              <w:t>Ubigeo</w:t>
            </w:r>
            <w:proofErr w:type="spellEnd"/>
            <w:r>
              <w:t xml:space="preserve">, año, departamento, provincia, distrito, longitud, latitud, fecha, hora, elevación, </w:t>
            </w:r>
            <w:proofErr w:type="spellStart"/>
            <w:r>
              <w:t>azimuth</w:t>
            </w:r>
            <w:proofErr w:type="spellEnd"/>
            <w:r>
              <w:t xml:space="preserve">, rango, velocidad, </w:t>
            </w:r>
            <w:proofErr w:type="spellStart"/>
            <w:r>
              <w:t>reflectividad</w:t>
            </w:r>
            <w:proofErr w:type="spellEnd"/>
            <w:r>
              <w:t xml:space="preserve"> y ancho espectral.</w:t>
            </w:r>
          </w:p>
          <w:p w:rsidR="00D71861" w:rsidRDefault="00D71861"/>
          <w:p w:rsidR="00D71861" w:rsidRDefault="00CC3171">
            <w:pPr>
              <w:rPr>
                <w:color w:val="1155CC"/>
                <w:u w:val="single"/>
              </w:rPr>
            </w:pPr>
            <w:r>
              <w:t xml:space="preserve">Especificaciones del radar </w:t>
            </w:r>
            <w:proofErr w:type="spellStart"/>
            <w:r>
              <w:t>SOPHy</w:t>
            </w:r>
            <w:proofErr w:type="spellEnd"/>
            <w:r>
              <w:t>:</w:t>
            </w:r>
            <w:r>
              <w:br/>
            </w:r>
            <w:hyperlink r:id="rId7">
              <w:r>
                <w:rPr>
                  <w:color w:val="1155CC"/>
                  <w:u w:val="single"/>
                </w:rPr>
                <w:t>https://www.igp.gob.pe/proyectos/desarrollo-tecnologico/radar-meteorologico/</w:t>
              </w:r>
            </w:hyperlink>
          </w:p>
          <w:p w:rsidR="00A07B18" w:rsidRDefault="00A07B18"/>
        </w:tc>
      </w:tr>
      <w:tr w:rsidR="00D71861" w:rsidTr="00040F05">
        <w:tc>
          <w:tcPr>
            <w:tcW w:w="2802" w:type="dxa"/>
            <w:vAlign w:val="center"/>
          </w:tcPr>
          <w:p w:rsidR="00D71861" w:rsidRDefault="00CC3171">
            <w:r>
              <w:rPr>
                <w:b/>
                <w:color w:val="000000"/>
                <w:sz w:val="20"/>
                <w:szCs w:val="20"/>
              </w:rPr>
              <w:t>Entidad</w:t>
            </w:r>
          </w:p>
        </w:tc>
        <w:tc>
          <w:tcPr>
            <w:tcW w:w="7668" w:type="dxa"/>
          </w:tcPr>
          <w:p w:rsidR="00D71861" w:rsidRDefault="00CC3171">
            <w:r>
              <w:t>Instituto Geofísico del Perú - IGP</w:t>
            </w:r>
          </w:p>
        </w:tc>
      </w:tr>
      <w:tr w:rsidR="00D71861" w:rsidTr="00040F05">
        <w:tc>
          <w:tcPr>
            <w:tcW w:w="2802" w:type="dxa"/>
            <w:vAlign w:val="center"/>
          </w:tcPr>
          <w:p w:rsidR="00D71861" w:rsidRDefault="00CC3171">
            <w:r>
              <w:rPr>
                <w:b/>
                <w:color w:val="000000"/>
                <w:sz w:val="20"/>
                <w:szCs w:val="20"/>
              </w:rPr>
              <w:t>Fuente</w:t>
            </w:r>
          </w:p>
        </w:tc>
        <w:tc>
          <w:tcPr>
            <w:tcW w:w="7668" w:type="dxa"/>
          </w:tcPr>
          <w:p w:rsidR="00D71861" w:rsidRDefault="00CC3171">
            <w:r>
              <w:t xml:space="preserve">IGP sede Radio Observatorio de </w:t>
            </w:r>
            <w:proofErr w:type="spellStart"/>
            <w:r>
              <w:t>Jicamarca</w:t>
            </w:r>
            <w:proofErr w:type="spellEnd"/>
          </w:p>
        </w:tc>
      </w:tr>
      <w:tr w:rsidR="00D71861" w:rsidTr="00040F05">
        <w:tc>
          <w:tcPr>
            <w:tcW w:w="2802" w:type="dxa"/>
            <w:vAlign w:val="center"/>
          </w:tcPr>
          <w:p w:rsidR="00D71861" w:rsidRDefault="00CC3171">
            <w:r>
              <w:rPr>
                <w:b/>
                <w:color w:val="000000"/>
                <w:sz w:val="20"/>
                <w:szCs w:val="20"/>
              </w:rPr>
              <w:t>Etiquetas</w:t>
            </w:r>
          </w:p>
        </w:tc>
        <w:tc>
          <w:tcPr>
            <w:tcW w:w="7668" w:type="dxa"/>
          </w:tcPr>
          <w:p w:rsidR="00D71861" w:rsidRDefault="00CC3171">
            <w:proofErr w:type="spellStart"/>
            <w:r>
              <w:t>radars</w:t>
            </w:r>
            <w:proofErr w:type="spellEnd"/>
            <w:r>
              <w:t xml:space="preserve">, rain, </w:t>
            </w:r>
            <w:proofErr w:type="spellStart"/>
            <w:r>
              <w:t>weather</w:t>
            </w:r>
            <w:proofErr w:type="spellEnd"/>
          </w:p>
        </w:tc>
      </w:tr>
      <w:tr w:rsidR="00D71861" w:rsidTr="00040F05">
        <w:tc>
          <w:tcPr>
            <w:tcW w:w="2802" w:type="dxa"/>
            <w:vAlign w:val="center"/>
          </w:tcPr>
          <w:p w:rsidR="00D71861" w:rsidRDefault="00CC3171">
            <w:r>
              <w:rPr>
                <w:b/>
                <w:color w:val="000000"/>
                <w:sz w:val="20"/>
                <w:szCs w:val="20"/>
              </w:rPr>
              <w:t>Fecha de creación</w:t>
            </w:r>
          </w:p>
        </w:tc>
        <w:tc>
          <w:tcPr>
            <w:tcW w:w="7668" w:type="dxa"/>
          </w:tcPr>
          <w:p w:rsidR="00D71861" w:rsidRDefault="00CC3171">
            <w:r>
              <w:t>2024-06-18</w:t>
            </w:r>
            <w:r w:rsidR="0079393E">
              <w:t xml:space="preserve"> </w:t>
            </w:r>
            <w:r w:rsidR="0079393E">
              <w:rPr>
                <w:color w:val="000000"/>
              </w:rPr>
              <w:t>(UTC)</w:t>
            </w:r>
            <w:bookmarkStart w:id="0" w:name="_GoBack"/>
            <w:bookmarkEnd w:id="0"/>
          </w:p>
        </w:tc>
      </w:tr>
      <w:tr w:rsidR="00D71861" w:rsidTr="00040F05">
        <w:tc>
          <w:tcPr>
            <w:tcW w:w="2802" w:type="dxa"/>
            <w:vAlign w:val="center"/>
          </w:tcPr>
          <w:p w:rsidR="00D71861" w:rsidRDefault="00CC3171">
            <w:r>
              <w:rPr>
                <w:b/>
                <w:color w:val="000000"/>
                <w:sz w:val="20"/>
                <w:szCs w:val="20"/>
              </w:rPr>
              <w:t>Frecuencia de actualización</w:t>
            </w:r>
          </w:p>
        </w:tc>
        <w:tc>
          <w:tcPr>
            <w:tcW w:w="7668" w:type="dxa"/>
            <w:vAlign w:val="center"/>
          </w:tcPr>
          <w:p w:rsidR="00D71861" w:rsidRDefault="00CC3171" w:rsidP="00040F05">
            <w:r>
              <w:t>Anual</w:t>
            </w:r>
          </w:p>
        </w:tc>
      </w:tr>
      <w:tr w:rsidR="00D71861" w:rsidTr="00040F05">
        <w:tc>
          <w:tcPr>
            <w:tcW w:w="2802" w:type="dxa"/>
            <w:vAlign w:val="center"/>
          </w:tcPr>
          <w:p w:rsidR="00D71861" w:rsidRDefault="00CC3171">
            <w:r>
              <w:rPr>
                <w:b/>
                <w:color w:val="000000"/>
                <w:sz w:val="20"/>
                <w:szCs w:val="20"/>
              </w:rPr>
              <w:t>Última actualización</w:t>
            </w:r>
          </w:p>
        </w:tc>
        <w:tc>
          <w:tcPr>
            <w:tcW w:w="7668" w:type="dxa"/>
            <w:vAlign w:val="center"/>
          </w:tcPr>
          <w:p w:rsidR="00D71861" w:rsidRDefault="00CC3171" w:rsidP="00040F05">
            <w:r>
              <w:t>202</w:t>
            </w:r>
            <w:r w:rsidR="00040F05">
              <w:t>5</w:t>
            </w:r>
            <w:r>
              <w:t>-06-</w:t>
            </w:r>
            <w:r w:rsidR="00040F05">
              <w:t>25</w:t>
            </w:r>
            <w:r>
              <w:t xml:space="preserve"> (UTC)</w:t>
            </w:r>
          </w:p>
        </w:tc>
      </w:tr>
      <w:tr w:rsidR="00D71861" w:rsidTr="00040F05">
        <w:tc>
          <w:tcPr>
            <w:tcW w:w="2802" w:type="dxa"/>
            <w:vAlign w:val="center"/>
          </w:tcPr>
          <w:p w:rsidR="00D71861" w:rsidRDefault="00CC3171">
            <w:r>
              <w:rPr>
                <w:b/>
                <w:color w:val="000000"/>
                <w:sz w:val="20"/>
                <w:szCs w:val="20"/>
              </w:rPr>
              <w:t>Versión</w:t>
            </w:r>
          </w:p>
        </w:tc>
        <w:tc>
          <w:tcPr>
            <w:tcW w:w="7668" w:type="dxa"/>
            <w:vAlign w:val="center"/>
          </w:tcPr>
          <w:p w:rsidR="00D71861" w:rsidRDefault="00040F05">
            <w:r>
              <w:t>2</w:t>
            </w:r>
            <w:r w:rsidR="00CC3171">
              <w:t>.0</w:t>
            </w:r>
          </w:p>
        </w:tc>
      </w:tr>
      <w:tr w:rsidR="00D71861" w:rsidRPr="0079393E" w:rsidTr="00040F05">
        <w:tc>
          <w:tcPr>
            <w:tcW w:w="2802" w:type="dxa"/>
            <w:vAlign w:val="center"/>
          </w:tcPr>
          <w:p w:rsidR="00D71861" w:rsidRDefault="00CC3171">
            <w:r>
              <w:rPr>
                <w:b/>
                <w:color w:val="000000"/>
                <w:sz w:val="20"/>
                <w:szCs w:val="20"/>
              </w:rPr>
              <w:t>Licencia</w:t>
            </w:r>
          </w:p>
        </w:tc>
        <w:tc>
          <w:tcPr>
            <w:tcW w:w="7668" w:type="dxa"/>
            <w:vAlign w:val="center"/>
          </w:tcPr>
          <w:p w:rsidR="00D71861" w:rsidRPr="00040F05" w:rsidRDefault="0079393E">
            <w:pPr>
              <w:rPr>
                <w:lang w:val="en-US"/>
              </w:rPr>
            </w:pPr>
            <w:hyperlink r:id="rId8">
              <w:r w:rsidR="00CC3171" w:rsidRPr="00040F05">
                <w:rPr>
                  <w:color w:val="0A77BD"/>
                  <w:u w:val="single"/>
                  <w:lang w:val="en-US"/>
                </w:rPr>
                <w:t>Open Data Commons Attribution License</w:t>
              </w:r>
            </w:hyperlink>
          </w:p>
        </w:tc>
      </w:tr>
      <w:tr w:rsidR="00D71861" w:rsidTr="00040F05">
        <w:tc>
          <w:tcPr>
            <w:tcW w:w="2802" w:type="dxa"/>
            <w:vAlign w:val="center"/>
          </w:tcPr>
          <w:p w:rsidR="00D71861" w:rsidRDefault="00CC3171">
            <w:r>
              <w:rPr>
                <w:b/>
                <w:color w:val="000000"/>
                <w:sz w:val="20"/>
                <w:szCs w:val="20"/>
              </w:rPr>
              <w:t>Idioma</w:t>
            </w:r>
          </w:p>
        </w:tc>
        <w:tc>
          <w:tcPr>
            <w:tcW w:w="7668" w:type="dxa"/>
            <w:vAlign w:val="center"/>
          </w:tcPr>
          <w:p w:rsidR="00D71861" w:rsidRDefault="00CC3171">
            <w:r>
              <w:t>Español</w:t>
            </w:r>
          </w:p>
        </w:tc>
      </w:tr>
      <w:tr w:rsidR="00D71861" w:rsidTr="00040F05">
        <w:tc>
          <w:tcPr>
            <w:tcW w:w="2802" w:type="dxa"/>
            <w:vAlign w:val="center"/>
          </w:tcPr>
          <w:p w:rsidR="00D71861" w:rsidRDefault="00CC3171">
            <w:r>
              <w:rPr>
                <w:b/>
                <w:color w:val="000000"/>
                <w:sz w:val="20"/>
                <w:szCs w:val="20"/>
              </w:rPr>
              <w:t>Nivel de acceso público</w:t>
            </w:r>
          </w:p>
        </w:tc>
        <w:tc>
          <w:tcPr>
            <w:tcW w:w="7668" w:type="dxa"/>
            <w:vAlign w:val="center"/>
          </w:tcPr>
          <w:p w:rsidR="00D71861" w:rsidRDefault="00CC3171">
            <w:r>
              <w:rPr>
                <w:color w:val="000000"/>
              </w:rPr>
              <w:t>Público</w:t>
            </w:r>
          </w:p>
        </w:tc>
      </w:tr>
      <w:tr w:rsidR="00D71861" w:rsidTr="00040F05">
        <w:tc>
          <w:tcPr>
            <w:tcW w:w="2802" w:type="dxa"/>
          </w:tcPr>
          <w:p w:rsidR="00D71861" w:rsidRDefault="00CC3171">
            <w:r>
              <w:rPr>
                <w:b/>
                <w:color w:val="000000"/>
                <w:sz w:val="20"/>
                <w:szCs w:val="20"/>
              </w:rPr>
              <w:t>Tipo de recurso</w:t>
            </w:r>
          </w:p>
        </w:tc>
        <w:tc>
          <w:tcPr>
            <w:tcW w:w="7668" w:type="dxa"/>
          </w:tcPr>
          <w:p w:rsidR="00D71861" w:rsidRDefault="00CC3171">
            <w:proofErr w:type="spellStart"/>
            <w:r>
              <w:t>Dataset</w:t>
            </w:r>
            <w:proofErr w:type="spellEnd"/>
          </w:p>
        </w:tc>
      </w:tr>
      <w:tr w:rsidR="00D71861" w:rsidTr="00040F05">
        <w:trPr>
          <w:trHeight w:val="330"/>
        </w:trPr>
        <w:tc>
          <w:tcPr>
            <w:tcW w:w="2802" w:type="dxa"/>
          </w:tcPr>
          <w:p w:rsidR="00D71861" w:rsidRDefault="00CC3171">
            <w:pPr>
              <w:rPr>
                <w:b/>
              </w:rPr>
            </w:pPr>
            <w:r>
              <w:rPr>
                <w:b/>
              </w:rPr>
              <w:t>Formato</w:t>
            </w:r>
          </w:p>
        </w:tc>
        <w:tc>
          <w:tcPr>
            <w:tcW w:w="7668" w:type="dxa"/>
          </w:tcPr>
          <w:p w:rsidR="00D71861" w:rsidRDefault="00CC3171">
            <w:r>
              <w:t>CSV</w:t>
            </w:r>
          </w:p>
        </w:tc>
      </w:tr>
      <w:tr w:rsidR="00D71861" w:rsidTr="00040F05">
        <w:tc>
          <w:tcPr>
            <w:tcW w:w="2802" w:type="dxa"/>
          </w:tcPr>
          <w:p w:rsidR="00D71861" w:rsidRDefault="00CC3171">
            <w:r>
              <w:rPr>
                <w:b/>
                <w:color w:val="000000"/>
                <w:sz w:val="20"/>
                <w:szCs w:val="20"/>
              </w:rPr>
              <w:t xml:space="preserve">Cobertura </w:t>
            </w:r>
          </w:p>
        </w:tc>
        <w:tc>
          <w:tcPr>
            <w:tcW w:w="7668" w:type="dxa"/>
          </w:tcPr>
          <w:p w:rsidR="00D71861" w:rsidRDefault="00040F05">
            <w:r w:rsidRPr="00040F05">
              <w:t>2024-02-20 (Piura</w:t>
            </w:r>
            <w:r>
              <w:t xml:space="preserve"> – Piura -Piura</w:t>
            </w:r>
            <w:r w:rsidRPr="00040F05">
              <w:t>); 2025-06-16 (</w:t>
            </w:r>
            <w:r>
              <w:t xml:space="preserve">Junín – </w:t>
            </w:r>
            <w:r w:rsidRPr="00040F05">
              <w:t>Huancayo</w:t>
            </w:r>
            <w:r>
              <w:t xml:space="preserve"> - Sicaya</w:t>
            </w:r>
            <w:r w:rsidRPr="00040F05">
              <w:t>)</w:t>
            </w:r>
          </w:p>
        </w:tc>
      </w:tr>
      <w:tr w:rsidR="00D71861" w:rsidTr="00040F05">
        <w:tc>
          <w:tcPr>
            <w:tcW w:w="2802" w:type="dxa"/>
          </w:tcPr>
          <w:p w:rsidR="00D71861" w:rsidRDefault="00CC3171">
            <w:pPr>
              <w:rPr>
                <w:b/>
              </w:rPr>
            </w:pPr>
            <w:r>
              <w:rPr>
                <w:b/>
              </w:rPr>
              <w:t>Correo de contacto</w:t>
            </w:r>
          </w:p>
        </w:tc>
        <w:tc>
          <w:tcPr>
            <w:tcW w:w="7668" w:type="dxa"/>
          </w:tcPr>
          <w:p w:rsidR="00D71861" w:rsidRDefault="00CC3171">
            <w:r>
              <w:t>dscipion@igp.gob.pe</w:t>
            </w:r>
          </w:p>
        </w:tc>
      </w:tr>
    </w:tbl>
    <w:p w:rsidR="00D71861" w:rsidRDefault="00D71861">
      <w:bookmarkStart w:id="1" w:name="_heading=h.gjdgxs" w:colFirst="0" w:colLast="0"/>
      <w:bookmarkEnd w:id="1"/>
    </w:p>
    <w:sectPr w:rsidR="00D71861">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61"/>
    <w:rsid w:val="00040F05"/>
    <w:rsid w:val="0079393E"/>
    <w:rsid w:val="00A07B18"/>
    <w:rsid w:val="00CC3171"/>
    <w:rsid w:val="00D71861"/>
    <w:rsid w:val="00EA707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6B7C85-6159-4B24-8A63-DF65D8A3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57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9F0CA5"/>
    <w:rPr>
      <w:color w:val="0563C1" w:themeColor="hyperlink"/>
      <w:u w:val="single"/>
    </w:rPr>
  </w:style>
  <w:style w:type="character" w:customStyle="1" w:styleId="UnresolvedMention">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opendefinition.org/licenses/odc-by/" TargetMode="External"/><Relationship Id="rId3" Type="http://schemas.openxmlformats.org/officeDocument/2006/relationships/styles" Target="styles.xml"/><Relationship Id="rId7" Type="http://schemas.openxmlformats.org/officeDocument/2006/relationships/hyperlink" Target="https://www.igp.gob.pe/proyectos/desarrollo-tecnologico/radar-meteorologico/acerc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datosabiertos.gob.pe/dataset/datos-de-reflectividad-de-la-precipitaci&#243;n-obtenida-con-el-radar-sophy-instituto-geof&#237;sic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W15bCl53UlLLrCRqLueFdA8SaA==">CgMxLjAyCGguZ2pkZ3hzOAByITFMRnE2VjFRLU42bW1XVjdUOUt3SWFFUEVWeFBpVjVvSA==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B2830F-D795-4F5F-914D-B2BB48869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448</Words>
  <Characters>2468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 Fernanda Vera Quea</dc:creator>
  <cp:lastModifiedBy>Cuenta Microsoft</cp:lastModifiedBy>
  <cp:revision>6</cp:revision>
  <dcterms:created xsi:type="dcterms:W3CDTF">2021-10-20T17:24:00Z</dcterms:created>
  <dcterms:modified xsi:type="dcterms:W3CDTF">2025-06-25T16:42:00Z</dcterms:modified>
</cp:coreProperties>
</file>