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en las Evaluaciones Ambientales Tempranas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en las Evaluaciones Ambientales Tempranas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evaluaciones ambientales tempranas</w:t>
            </w:r>
            <w:r w:rsidDel="00000000" w:rsidR="00000000" w:rsidRPr="00000000">
              <w:rPr>
                <w:vertAlign w:val="superscript"/>
              </w:rPr>
              <w:footnoteReference w:customMarkFollows="0" w:id="0"/>
            </w:r>
            <w:r w:rsidDel="00000000" w:rsidR="00000000" w:rsidRPr="00000000">
              <w:rPr>
                <w:rtl w:val="0"/>
              </w:rPr>
              <w:t xml:space="preserve">, las cuales se efectúan para determinar el estado de la calidad ambiental y contar con un diagnóstico de las causas o efectos de su alteración; en específico, las que se encuentran centradas en el componente agua, que se han llevado a cabo en diversos cuerpos hídricos como ríos, lagunas, quebradas, entre otros, con el objetivo de caracterizar el componente ambiental involucrado y analizar las condiciones físico-químicas y microbiológicas del medio acuático en función de los tipos de muestras recolectadas y los parámetros evaluados.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 las muestras recolectadas dentro de un área de estudio para cada parámetro bajo un tipo de análisis determinado, donde su ejecución implica haber realizado acciones técnicas en las que participantes representantes de la sociedad civil, de los administrados del OEFA y las autoridades locales.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de la Evaluación Ambiental:</w:t>
            </w:r>
          </w:p>
          <w:p w:rsidR="00000000" w:rsidDel="00000000" w:rsidP="00000000" w:rsidRDefault="00000000" w:rsidRPr="00000000" w14:paraId="00000013">
            <w:pPr>
              <w:ind w:left="720" w:firstLine="0"/>
              <w:jc w:val="both"/>
              <w:rPr/>
            </w:pPr>
            <w:r w:rsidDel="00000000" w:rsidR="00000000" w:rsidRPr="00000000">
              <w:rPr>
                <w:rtl w:val="0"/>
              </w:rPr>
              <w:t xml:space="preserve">id_inf, nombre_evaluacion, etapa, componente_ambiental, procedencia_muestra, procedencia_muestra_especifica, nombre_punto, fecha_muestra, hora, descripcion_de_ubicacion, tipo_de_muestra</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este, norte, altitud, zona, datum</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9">
            <w:pPr>
              <w:ind w:left="720" w:firstLine="0"/>
              <w:jc w:val="both"/>
              <w:rPr/>
            </w:pPr>
            <w:r w:rsidDel="00000000" w:rsidR="00000000" w:rsidRPr="00000000">
              <w:rPr>
                <w:rtl w:val="0"/>
              </w:rPr>
              <w:t xml:space="preserve">parámetro, unidad_de_medida</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t xml:space="preserve">Aniones por Cromatografía Iónica, Ensayo por Cromatografía - HTP, Metales Disueltos, Metales Totales, Otros Parámetros Fisico Químicos, Parámetros Fisicoquímicos, PCB (Policloruros Bifenilos), Pesticidas OrganoClorados, Pesticidas OrganoFosforados, Plaguicidas Carbamatos, Resultado in situ. fisicoquímicos, parámetros inorgánicos, parámetros orgánicos, pcb (policloruros bifenilos), resultados in situ</w:t>
            </w:r>
          </w:p>
          <w:p w:rsidR="00000000" w:rsidDel="00000000" w:rsidP="00000000" w:rsidRDefault="00000000" w:rsidRPr="00000000" w14:paraId="0000001E">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Dirección de Evaluación Ambiental</w:t>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Temprana</w:t>
            </w:r>
            <w:r w:rsidDel="00000000" w:rsidR="00000000" w:rsidRPr="00000000">
              <w:rPr>
                <w:rFonts w:ascii="Arial" w:cs="Arial" w:eastAsia="Arial" w:hAnsi="Arial"/>
                <w:rtl w:val="0"/>
              </w:rPr>
              <w:t xml:space="preserve">, Evaluación Ambiental</w:t>
            </w:r>
          </w:p>
        </w:tc>
      </w:tr>
      <w:tr>
        <w:trPr>
          <w:cantSplit w:val="0"/>
          <w:tblHeader w:val="0"/>
        </w:trPr>
        <w:tc>
          <w:tcPr>
            <w:shd w:fill="auto" w:val="clea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A">
            <w:pPr>
              <w:rPr/>
            </w:pPr>
            <w:hyperlink r:id="rId7">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B">
            <w:pPr>
              <w:rPr/>
            </w:pPr>
            <w:hyperlink r:id="rId8">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3C">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D">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Permite determinar el estado de la calidad ambiental y contar con un diagnóstico de las causas o efectos de la alteración en el área de estudio. Se desarrolla cuando no se tiene información sobre la existencia de impactos.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bazalar@oefa.gob.pe" TargetMode="External"/><Relationship Id="rId8"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